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B029" w14:textId="19A4D568" w:rsidR="00B453F5" w:rsidRDefault="00CD6E98" w:rsidP="005A1FCC">
      <w:pPr>
        <w:rPr>
          <w:rFonts w:eastAsia="Times New Roman" w:cs="Arial"/>
          <w:color w:val="203864"/>
          <w:shd w:val="clear" w:color="auto" w:fill="FFFFFF"/>
          <w:lang w:eastAsia="en-GB"/>
        </w:rPr>
      </w:pPr>
      <w:r w:rsidRPr="001D0A05">
        <w:rPr>
          <w:noProof/>
          <w:lang w:eastAsia="en-GB"/>
        </w:rPr>
        <w:drawing>
          <wp:anchor distT="0" distB="0" distL="114300" distR="114300" simplePos="0" relativeHeight="251659264" behindDoc="0" locked="0" layoutInCell="1" allowOverlap="1" wp14:anchorId="639BC109" wp14:editId="5ADF36BD">
            <wp:simplePos x="0" y="0"/>
            <wp:positionH relativeFrom="margin">
              <wp:align>left</wp:align>
            </wp:positionH>
            <wp:positionV relativeFrom="paragraph">
              <wp:posOffset>-205740</wp:posOffset>
            </wp:positionV>
            <wp:extent cx="1650609" cy="1403337"/>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05c.jpeg"/>
                    <pic:cNvPicPr/>
                  </pic:nvPicPr>
                  <pic:blipFill rotWithShape="1">
                    <a:blip r:embed="rId8" cstate="print">
                      <a:extLst>
                        <a:ext uri="{28A0092B-C50C-407E-A947-70E740481C1C}">
                          <a14:useLocalDpi xmlns:a14="http://schemas.microsoft.com/office/drawing/2010/main" val="0"/>
                        </a:ext>
                      </a:extLst>
                    </a:blip>
                    <a:srcRect l="9444" r="8090"/>
                    <a:stretch/>
                  </pic:blipFill>
                  <pic:spPr bwMode="auto">
                    <a:xfrm>
                      <a:off x="0" y="0"/>
                      <a:ext cx="1650609" cy="14033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E702D07" w14:textId="77777777" w:rsidR="00CD6E98" w:rsidRPr="00601A74" w:rsidRDefault="00F11812" w:rsidP="00CD6E98">
      <w:pPr>
        <w:jc w:val="right"/>
        <w:rPr>
          <w:rFonts w:asciiTheme="minorHAnsi" w:hAnsiTheme="minorHAnsi" w:cs="Arial"/>
          <w:b/>
          <w:color w:val="00448A"/>
          <w:sz w:val="56"/>
          <w:szCs w:val="56"/>
        </w:rPr>
      </w:pPr>
      <w:r w:rsidRPr="00601A74">
        <w:rPr>
          <w:rFonts w:asciiTheme="minorHAnsi" w:hAnsiTheme="minorHAnsi" w:cs="Arial"/>
          <w:b/>
          <w:color w:val="00448A"/>
          <w:sz w:val="56"/>
          <w:szCs w:val="56"/>
        </w:rPr>
        <w:t xml:space="preserve">Business continuity </w:t>
      </w:r>
      <w:r w:rsidR="00AF3E74" w:rsidRPr="00601A74">
        <w:rPr>
          <w:rFonts w:asciiTheme="minorHAnsi" w:hAnsiTheme="minorHAnsi" w:cs="Arial"/>
          <w:b/>
          <w:color w:val="00448A"/>
          <w:sz w:val="56"/>
          <w:szCs w:val="56"/>
        </w:rPr>
        <w:t>plan</w:t>
      </w:r>
    </w:p>
    <w:p w14:paraId="7D83AAB0" w14:textId="25CAFE52" w:rsidR="006B451B" w:rsidRDefault="00CD6E98" w:rsidP="00F45D83">
      <w:pPr>
        <w:spacing w:before="120"/>
        <w:jc w:val="right"/>
        <w:rPr>
          <w:rFonts w:cs="Arial"/>
          <w:b/>
          <w:sz w:val="24"/>
        </w:rPr>
      </w:pPr>
      <w:r w:rsidRPr="00CD6E98">
        <w:rPr>
          <w:rFonts w:cs="Arial"/>
          <w:b/>
          <w:sz w:val="24"/>
        </w:rPr>
        <w:t>A</w:t>
      </w:r>
      <w:r w:rsidR="00AF3E74" w:rsidRPr="00CD6E98">
        <w:rPr>
          <w:rFonts w:cs="Arial"/>
          <w:b/>
          <w:sz w:val="24"/>
        </w:rPr>
        <w:t xml:space="preserve"> template for </w:t>
      </w:r>
      <w:r w:rsidR="00601A74">
        <w:rPr>
          <w:rFonts w:cs="Arial"/>
          <w:b/>
          <w:sz w:val="24"/>
        </w:rPr>
        <w:t xml:space="preserve">adult social </w:t>
      </w:r>
      <w:r w:rsidR="00AF3E74" w:rsidRPr="00CD6E98">
        <w:rPr>
          <w:rFonts w:cs="Arial"/>
          <w:b/>
          <w:sz w:val="24"/>
        </w:rPr>
        <w:t>care providers</w:t>
      </w:r>
    </w:p>
    <w:p w14:paraId="2CE9DE01" w14:textId="031CE4F4" w:rsidR="00CD6E98" w:rsidRPr="008359F4" w:rsidRDefault="008359F4" w:rsidP="00F45D83">
      <w:pPr>
        <w:spacing w:before="120"/>
        <w:jc w:val="right"/>
        <w:rPr>
          <w:rFonts w:cs="Arial"/>
          <w:b/>
          <w:sz w:val="24"/>
        </w:rPr>
      </w:pPr>
      <w:r w:rsidRPr="008359F4">
        <w:rPr>
          <w:rFonts w:cs="Arial"/>
          <w:b/>
          <w:sz w:val="24"/>
        </w:rPr>
        <w:t xml:space="preserve">Published </w:t>
      </w:r>
      <w:r w:rsidR="00A96582">
        <w:rPr>
          <w:rFonts w:cs="Arial"/>
          <w:b/>
          <w:sz w:val="24"/>
        </w:rPr>
        <w:t>20</w:t>
      </w:r>
      <w:r w:rsidRPr="008359F4">
        <w:rPr>
          <w:rFonts w:cs="Arial"/>
          <w:b/>
          <w:sz w:val="24"/>
        </w:rPr>
        <w:t xml:space="preserve"> May 2020</w:t>
      </w:r>
    </w:p>
    <w:p w14:paraId="6A2477DB" w14:textId="1A86F61F" w:rsidR="00CD6E98" w:rsidRPr="00CD6E98" w:rsidRDefault="00461BBD" w:rsidP="00F45D83">
      <w:pPr>
        <w:rPr>
          <w:rFonts w:cs="Arial"/>
          <w:b/>
          <w:color w:val="0070C0"/>
          <w:sz w:val="24"/>
        </w:rPr>
      </w:pPr>
      <w:r>
        <w:rPr>
          <w:rFonts w:cs="Arial"/>
          <w:b/>
          <w:noProof/>
          <w:color w:val="FF0000"/>
          <w:sz w:val="24"/>
          <w:lang w:eastAsia="en-GB"/>
        </w:rPr>
        <mc:AlternateContent>
          <mc:Choice Requires="wps">
            <w:drawing>
              <wp:anchor distT="0" distB="0" distL="114300" distR="114300" simplePos="0" relativeHeight="251660288" behindDoc="0" locked="0" layoutInCell="1" allowOverlap="1" wp14:anchorId="7BE11748" wp14:editId="7DA973A2">
                <wp:simplePos x="0" y="0"/>
                <wp:positionH relativeFrom="column">
                  <wp:posOffset>-863600</wp:posOffset>
                </wp:positionH>
                <wp:positionV relativeFrom="paragraph">
                  <wp:posOffset>213360</wp:posOffset>
                </wp:positionV>
                <wp:extent cx="10661650" cy="70485"/>
                <wp:effectExtent l="19050" t="19050" r="25400" b="24765"/>
                <wp:wrapNone/>
                <wp:docPr id="3" name="Straight Connector 3"/>
                <wp:cNvGraphicFramePr/>
                <a:graphic xmlns:a="http://schemas.openxmlformats.org/drawingml/2006/main">
                  <a:graphicData uri="http://schemas.microsoft.com/office/word/2010/wordprocessingShape">
                    <wps:wsp>
                      <wps:cNvCnPr/>
                      <wps:spPr>
                        <a:xfrm>
                          <a:off x="0" y="0"/>
                          <a:ext cx="10661650" cy="70485"/>
                        </a:xfrm>
                        <a:prstGeom prst="line">
                          <a:avLst/>
                        </a:prstGeom>
                        <a:ln w="38100">
                          <a:solidFill>
                            <a:srgbClr val="00448A"/>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9A8642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16.8pt" to="77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" strokecolor="#00448a" strokeweight="3pt">
                <v:stroke joinstyle="miter"/>
              </v:line>
            </w:pict>
          </mc:Fallback>
        </mc:AlternateContent>
      </w:r>
    </w:p>
    <w:p w14:paraId="40EC7751" w14:textId="77777777" w:rsidR="00461BBD" w:rsidRDefault="00461BBD" w:rsidP="00892073">
      <w:pPr>
        <w:rPr>
          <w:rFonts w:cs="Arial"/>
          <w:sz w:val="24"/>
        </w:rPr>
      </w:pPr>
    </w:p>
    <w:p w14:paraId="3FCB2AB7" w14:textId="77777777" w:rsidR="00461BBD" w:rsidRPr="00601A74" w:rsidRDefault="00461BBD" w:rsidP="00892073">
      <w:pPr>
        <w:rPr>
          <w:rFonts w:cs="Arial"/>
          <w:b/>
          <w:color w:val="00448A"/>
          <w:sz w:val="28"/>
          <w:szCs w:val="28"/>
        </w:rPr>
      </w:pPr>
      <w:r w:rsidRPr="00601A74">
        <w:rPr>
          <w:rFonts w:cs="Arial"/>
          <w:b/>
          <w:color w:val="00448A"/>
          <w:sz w:val="28"/>
          <w:szCs w:val="28"/>
        </w:rPr>
        <w:t>How to use this template</w:t>
      </w:r>
    </w:p>
    <w:p w14:paraId="5F9A45E3" w14:textId="68F4FD2E" w:rsidR="0011406B" w:rsidRPr="00CD6E98" w:rsidRDefault="006E7A95" w:rsidP="0011406B">
      <w:pPr>
        <w:rPr>
          <w:rFonts w:cs="Arial"/>
          <w:sz w:val="24"/>
        </w:rPr>
      </w:pPr>
      <w:r w:rsidRPr="00CD6E98">
        <w:rPr>
          <w:rFonts w:cs="Arial"/>
          <w:sz w:val="24"/>
        </w:rPr>
        <w:t>This template will help you create</w:t>
      </w:r>
      <w:r w:rsidR="007960CC" w:rsidRPr="00CD6E98">
        <w:rPr>
          <w:rFonts w:cs="Arial"/>
          <w:sz w:val="24"/>
        </w:rPr>
        <w:t xml:space="preserve"> or </w:t>
      </w:r>
      <w:r w:rsidR="00CB1392" w:rsidRPr="00CD6E98">
        <w:rPr>
          <w:rFonts w:cs="Arial"/>
          <w:sz w:val="24"/>
        </w:rPr>
        <w:t>refresh</w:t>
      </w:r>
      <w:r w:rsidRPr="00CD6E98">
        <w:rPr>
          <w:rFonts w:cs="Arial"/>
          <w:sz w:val="24"/>
        </w:rPr>
        <w:t xml:space="preserve"> </w:t>
      </w:r>
      <w:r w:rsidR="00CB1392" w:rsidRPr="00CD6E98">
        <w:rPr>
          <w:rFonts w:cs="Arial"/>
          <w:sz w:val="24"/>
        </w:rPr>
        <w:t xml:space="preserve">your </w:t>
      </w:r>
      <w:r w:rsidR="00F81DBA" w:rsidRPr="00CD6E98">
        <w:rPr>
          <w:rFonts w:cs="Arial"/>
          <w:sz w:val="24"/>
        </w:rPr>
        <w:t>business continuity</w:t>
      </w:r>
      <w:r w:rsidR="00CB1392" w:rsidRPr="00CD6E98">
        <w:rPr>
          <w:rFonts w:cs="Arial"/>
          <w:sz w:val="24"/>
        </w:rPr>
        <w:t xml:space="preserve"> </w:t>
      </w:r>
      <w:r w:rsidRPr="00CD6E98">
        <w:rPr>
          <w:rFonts w:cs="Arial"/>
          <w:sz w:val="24"/>
        </w:rPr>
        <w:t>plan to prepare for situations that, should they arise, could have a major impact on your business and the people who use your services.</w:t>
      </w:r>
      <w:r w:rsidR="005537CD" w:rsidRPr="00CD6E98">
        <w:rPr>
          <w:rFonts w:cs="Arial"/>
          <w:sz w:val="24"/>
        </w:rPr>
        <w:t xml:space="preserve"> It</w:t>
      </w:r>
      <w:r w:rsidRPr="00CD6E98">
        <w:rPr>
          <w:rFonts w:cs="Arial"/>
          <w:sz w:val="24"/>
        </w:rPr>
        <w:t xml:space="preserve"> </w:t>
      </w:r>
      <w:r w:rsidR="006669FA" w:rsidRPr="00CD6E98">
        <w:rPr>
          <w:rFonts w:cs="Arial"/>
          <w:sz w:val="24"/>
        </w:rPr>
        <w:t xml:space="preserve">provides an overview of the </w:t>
      </w:r>
      <w:r w:rsidR="002B3FF5" w:rsidRPr="00CD6E98">
        <w:rPr>
          <w:rFonts w:cs="Arial"/>
          <w:sz w:val="24"/>
        </w:rPr>
        <w:t>detail</w:t>
      </w:r>
      <w:r w:rsidR="006669FA" w:rsidRPr="00CD6E98">
        <w:rPr>
          <w:rFonts w:cs="Arial"/>
          <w:sz w:val="24"/>
        </w:rPr>
        <w:t xml:space="preserve"> </w:t>
      </w:r>
      <w:r w:rsidR="00F81DBA" w:rsidRPr="00CD6E98">
        <w:rPr>
          <w:rFonts w:cs="Arial"/>
          <w:sz w:val="24"/>
        </w:rPr>
        <w:t xml:space="preserve">and risk </w:t>
      </w:r>
      <w:r w:rsidR="006669FA" w:rsidRPr="00CD6E98">
        <w:rPr>
          <w:rFonts w:cs="Arial"/>
          <w:sz w:val="24"/>
        </w:rPr>
        <w:t>you should consider</w:t>
      </w:r>
      <w:r w:rsidR="002B3FF5" w:rsidRPr="00CD6E98">
        <w:rPr>
          <w:rFonts w:cs="Arial"/>
          <w:sz w:val="24"/>
        </w:rPr>
        <w:t xml:space="preserve"> as part of a robust plan</w:t>
      </w:r>
      <w:r w:rsidR="006669FA" w:rsidRPr="00CD6E98">
        <w:rPr>
          <w:rFonts w:cs="Arial"/>
          <w:sz w:val="24"/>
        </w:rPr>
        <w:t>, regardless of the service you provide</w:t>
      </w:r>
      <w:r w:rsidR="002B3FF5" w:rsidRPr="00CD6E98">
        <w:rPr>
          <w:rFonts w:cs="Arial"/>
          <w:sz w:val="24"/>
        </w:rPr>
        <w:t xml:space="preserve">. </w:t>
      </w:r>
      <w:r w:rsidR="005B5E01" w:rsidRPr="00CD6E98">
        <w:rPr>
          <w:rFonts w:cs="Arial"/>
          <w:sz w:val="24"/>
        </w:rPr>
        <w:t>I</w:t>
      </w:r>
      <w:r w:rsidR="002B3FF5" w:rsidRPr="00CD6E98">
        <w:rPr>
          <w:rFonts w:cs="Arial"/>
          <w:sz w:val="24"/>
        </w:rPr>
        <w:t>t does not cover everything that might be needed by individual businesses</w:t>
      </w:r>
      <w:r w:rsidR="005B5E01" w:rsidRPr="00CD6E98">
        <w:rPr>
          <w:rFonts w:cs="Arial"/>
          <w:sz w:val="24"/>
        </w:rPr>
        <w:t xml:space="preserve">, so please </w:t>
      </w:r>
      <w:r w:rsidR="005855B5" w:rsidRPr="00CD6E98">
        <w:rPr>
          <w:rFonts w:cs="Arial"/>
          <w:sz w:val="24"/>
        </w:rPr>
        <w:t>use it as the basis for your plan</w:t>
      </w:r>
      <w:r w:rsidR="005413F8" w:rsidRPr="00CD6E98">
        <w:rPr>
          <w:rFonts w:cs="Arial"/>
          <w:sz w:val="24"/>
        </w:rPr>
        <w:t>,</w:t>
      </w:r>
      <w:r w:rsidR="005855B5" w:rsidRPr="00CD6E98">
        <w:rPr>
          <w:rFonts w:cs="Arial"/>
          <w:sz w:val="24"/>
        </w:rPr>
        <w:t xml:space="preserve"> ad</w:t>
      </w:r>
      <w:r w:rsidR="00914CC6" w:rsidRPr="00CD6E98">
        <w:rPr>
          <w:rFonts w:cs="Arial"/>
          <w:sz w:val="24"/>
        </w:rPr>
        <w:t>ding</w:t>
      </w:r>
      <w:r w:rsidR="005855B5" w:rsidRPr="00CD6E98">
        <w:rPr>
          <w:rFonts w:cs="Arial"/>
          <w:sz w:val="24"/>
        </w:rPr>
        <w:t xml:space="preserve"> anything specific to your service</w:t>
      </w:r>
      <w:r w:rsidR="00914CC6" w:rsidRPr="00CD6E98">
        <w:rPr>
          <w:rFonts w:cs="Arial"/>
          <w:sz w:val="24"/>
        </w:rPr>
        <w:t xml:space="preserve"> and reflecting</w:t>
      </w:r>
      <w:r w:rsidR="007F30C8" w:rsidRPr="00CD6E98">
        <w:rPr>
          <w:rFonts w:cs="Arial"/>
          <w:sz w:val="24"/>
        </w:rPr>
        <w:t xml:space="preserve"> your existing business continuity plans</w:t>
      </w:r>
      <w:r w:rsidRPr="00CD6E98">
        <w:rPr>
          <w:rFonts w:cs="Arial"/>
          <w:sz w:val="24"/>
        </w:rPr>
        <w:t>.</w:t>
      </w:r>
      <w:r w:rsidR="00CB1392" w:rsidRPr="00CD6E98">
        <w:rPr>
          <w:rFonts w:cs="Arial"/>
          <w:sz w:val="24"/>
        </w:rPr>
        <w:t xml:space="preserve"> </w:t>
      </w:r>
      <w:r w:rsidR="00184727" w:rsidRPr="00CD6E98">
        <w:rPr>
          <w:rFonts w:cs="Arial"/>
          <w:sz w:val="24"/>
        </w:rPr>
        <w:t xml:space="preserve">Please use this document alongside </w:t>
      </w:r>
      <w:r w:rsidR="00CB20F2" w:rsidRPr="00CD6E98">
        <w:rPr>
          <w:rFonts w:cs="Arial"/>
          <w:sz w:val="24"/>
        </w:rPr>
        <w:t xml:space="preserve">the </w:t>
      </w:r>
      <w:hyperlink r:id="rId9" w:history="1">
        <w:r w:rsidR="00CB20F2" w:rsidRPr="00CD6E98">
          <w:rPr>
            <w:rStyle w:val="Hyperlink"/>
            <w:rFonts w:cs="Arial"/>
            <w:sz w:val="24"/>
          </w:rPr>
          <w:t xml:space="preserve">CPA’s </w:t>
        </w:r>
        <w:r w:rsidR="00E62882" w:rsidRPr="00CD6E98">
          <w:rPr>
            <w:rStyle w:val="Hyperlink"/>
            <w:rFonts w:cs="Arial"/>
            <w:sz w:val="24"/>
          </w:rPr>
          <w:t>b</w:t>
        </w:r>
        <w:r w:rsidR="00F11812" w:rsidRPr="00CD6E98">
          <w:rPr>
            <w:rStyle w:val="Hyperlink"/>
            <w:rFonts w:cs="Arial"/>
            <w:sz w:val="24"/>
          </w:rPr>
          <w:t xml:space="preserve">usiness continuity </w:t>
        </w:r>
        <w:r w:rsidR="00CB20F2" w:rsidRPr="00CD6E98">
          <w:rPr>
            <w:rStyle w:val="Hyperlink"/>
            <w:rFonts w:cs="Arial"/>
            <w:sz w:val="24"/>
          </w:rPr>
          <w:t>planning guidance</w:t>
        </w:r>
      </w:hyperlink>
      <w:r w:rsidR="00CB20F2" w:rsidRPr="00CD6E98">
        <w:rPr>
          <w:rFonts w:cs="Arial"/>
          <w:sz w:val="24"/>
        </w:rPr>
        <w:t>.</w:t>
      </w:r>
    </w:p>
    <w:p w14:paraId="5B966A85" w14:textId="6BEC65EF" w:rsidR="00184727" w:rsidRPr="00CD6E98" w:rsidRDefault="00184727" w:rsidP="00892073">
      <w:pPr>
        <w:rPr>
          <w:rFonts w:cs="Arial"/>
          <w:sz w:val="24"/>
        </w:rPr>
      </w:pPr>
    </w:p>
    <w:p w14:paraId="2EC7336E" w14:textId="062AC130" w:rsidR="00607D57" w:rsidRPr="00CD6E98" w:rsidRDefault="00F04849" w:rsidP="00892073">
      <w:pPr>
        <w:rPr>
          <w:rFonts w:eastAsia="Times New Roman" w:cs="Arial"/>
          <w:color w:val="000000"/>
          <w:sz w:val="24"/>
          <w:lang w:eastAsia="en-GB"/>
        </w:rPr>
      </w:pPr>
      <w:r w:rsidRPr="00CD6E98">
        <w:rPr>
          <w:rFonts w:eastAsia="Times New Roman" w:cs="Arial"/>
          <w:color w:val="000000"/>
          <w:sz w:val="24"/>
          <w:lang w:eastAsia="en-GB"/>
        </w:rPr>
        <w:t>You should also:</w:t>
      </w:r>
    </w:p>
    <w:p w14:paraId="1298AE42" w14:textId="1E064AB6" w:rsidR="003E3B1B" w:rsidRPr="00CD6E98" w:rsidRDefault="00815B78" w:rsidP="00CD6E98">
      <w:pPr>
        <w:pStyle w:val="ListParagraph"/>
        <w:numPr>
          <w:ilvl w:val="0"/>
          <w:numId w:val="30"/>
        </w:numPr>
        <w:rPr>
          <w:rFonts w:eastAsia="Times New Roman" w:cs="Arial"/>
          <w:color w:val="000000"/>
          <w:sz w:val="24"/>
          <w:lang w:eastAsia="en-GB"/>
        </w:rPr>
      </w:pPr>
      <w:r w:rsidRPr="00461BBD">
        <w:rPr>
          <w:rFonts w:eastAsia="Times New Roman" w:cs="Arial"/>
          <w:b/>
          <w:color w:val="000000"/>
          <w:sz w:val="24"/>
          <w:lang w:eastAsia="en-GB"/>
        </w:rPr>
        <w:t>Speak to your local authority</w:t>
      </w:r>
      <w:r w:rsidRPr="00CD6E98">
        <w:rPr>
          <w:rFonts w:eastAsia="Times New Roman" w:cs="Arial"/>
          <w:color w:val="000000"/>
          <w:sz w:val="24"/>
          <w:lang w:eastAsia="en-GB"/>
        </w:rPr>
        <w:t xml:space="preserve"> to make sure you</w:t>
      </w:r>
      <w:r w:rsidR="00D24D10" w:rsidRPr="00CD6E98">
        <w:rPr>
          <w:rFonts w:eastAsia="Times New Roman" w:cs="Arial"/>
          <w:color w:val="000000"/>
          <w:sz w:val="24"/>
          <w:lang w:eastAsia="en-GB"/>
        </w:rPr>
        <w:t>’re</w:t>
      </w:r>
      <w:r w:rsidRPr="00CD6E98">
        <w:rPr>
          <w:rFonts w:eastAsia="Times New Roman" w:cs="Arial"/>
          <w:color w:val="000000"/>
          <w:sz w:val="24"/>
          <w:lang w:eastAsia="en-GB"/>
        </w:rPr>
        <w:t xml:space="preserve"> aware of all relevant adult social care contacts for your area. Your local authority should be able to provide advice and support if you </w:t>
      </w:r>
      <w:r w:rsidR="00CC4EAB" w:rsidRPr="00CD6E98">
        <w:rPr>
          <w:rFonts w:eastAsia="Times New Roman" w:cs="Arial"/>
          <w:color w:val="000000"/>
          <w:sz w:val="24"/>
          <w:lang w:eastAsia="en-GB"/>
        </w:rPr>
        <w:t>have</w:t>
      </w:r>
      <w:r w:rsidRPr="00CD6E98">
        <w:rPr>
          <w:rFonts w:eastAsia="Times New Roman" w:cs="Arial"/>
          <w:color w:val="000000"/>
          <w:sz w:val="24"/>
          <w:lang w:eastAsia="en-GB"/>
        </w:rPr>
        <w:t xml:space="preserve"> </w:t>
      </w:r>
      <w:r w:rsidR="00A20E9B" w:rsidRPr="00CD6E98">
        <w:rPr>
          <w:rFonts w:eastAsia="Times New Roman" w:cs="Arial"/>
          <w:color w:val="000000"/>
          <w:sz w:val="24"/>
          <w:lang w:eastAsia="en-GB"/>
        </w:rPr>
        <w:t xml:space="preserve">any </w:t>
      </w:r>
      <w:r w:rsidRPr="00CD6E98">
        <w:rPr>
          <w:rFonts w:eastAsia="Times New Roman" w:cs="Arial"/>
          <w:color w:val="000000"/>
          <w:sz w:val="24"/>
          <w:lang w:eastAsia="en-GB"/>
        </w:rPr>
        <w:t>issues with service continuity.</w:t>
      </w:r>
      <w:r w:rsidR="00217482" w:rsidRPr="00CD6E98">
        <w:rPr>
          <w:rFonts w:eastAsia="Times New Roman" w:cs="Arial"/>
          <w:color w:val="000000"/>
          <w:sz w:val="24"/>
          <w:lang w:eastAsia="en-GB"/>
        </w:rPr>
        <w:t xml:space="preserve"> If you provide services funded by the NHS, you should speak to your local clinical commissioning group.</w:t>
      </w:r>
    </w:p>
    <w:p w14:paraId="59559399" w14:textId="562B3ED3" w:rsidR="003E3B1B" w:rsidRPr="00CD6E98" w:rsidRDefault="003E3B1B" w:rsidP="00CD6E98">
      <w:pPr>
        <w:pStyle w:val="ListParagraph"/>
        <w:numPr>
          <w:ilvl w:val="0"/>
          <w:numId w:val="30"/>
        </w:numPr>
        <w:rPr>
          <w:rFonts w:eastAsia="Times New Roman" w:cs="Arial"/>
          <w:color w:val="000000"/>
          <w:sz w:val="24"/>
          <w:lang w:eastAsia="en-GB"/>
        </w:rPr>
      </w:pPr>
      <w:r w:rsidRPr="00461BBD">
        <w:rPr>
          <w:rFonts w:eastAsia="Times New Roman" w:cs="Arial"/>
          <w:b/>
          <w:color w:val="000000"/>
          <w:sz w:val="24"/>
          <w:lang w:eastAsia="en-GB"/>
        </w:rPr>
        <w:t>Share best practice and information</w:t>
      </w:r>
      <w:r w:rsidRPr="00CD6E98">
        <w:rPr>
          <w:rFonts w:eastAsia="Times New Roman" w:cs="Arial"/>
          <w:color w:val="000000"/>
          <w:sz w:val="24"/>
          <w:lang w:eastAsia="en-GB"/>
        </w:rPr>
        <w:t xml:space="preserve"> with other local care providers and local authorities. Work together </w:t>
      </w:r>
      <w:r w:rsidR="005A4D60" w:rsidRPr="00CD6E98">
        <w:rPr>
          <w:rFonts w:eastAsia="Times New Roman" w:cs="Arial"/>
          <w:color w:val="000000"/>
          <w:sz w:val="24"/>
          <w:lang w:eastAsia="en-GB"/>
        </w:rPr>
        <w:t xml:space="preserve">to ensure continuity of service for those in your care </w:t>
      </w:r>
      <w:r w:rsidRPr="00CD6E98">
        <w:rPr>
          <w:rFonts w:eastAsia="Times New Roman" w:cs="Arial"/>
          <w:color w:val="000000"/>
          <w:sz w:val="24"/>
          <w:lang w:eastAsia="en-GB"/>
        </w:rPr>
        <w:t>if issues arise.</w:t>
      </w:r>
    </w:p>
    <w:p w14:paraId="1C1B7D3D" w14:textId="70CA33B4" w:rsidR="00217482" w:rsidRPr="00CD6E98" w:rsidRDefault="00B97E9D" w:rsidP="00CD6E98">
      <w:pPr>
        <w:pStyle w:val="ListParagraph"/>
        <w:numPr>
          <w:ilvl w:val="0"/>
          <w:numId w:val="30"/>
        </w:numPr>
        <w:rPr>
          <w:rFonts w:cs="Arial"/>
          <w:sz w:val="24"/>
        </w:rPr>
      </w:pPr>
      <w:r w:rsidRPr="00461BBD">
        <w:rPr>
          <w:rFonts w:cs="Arial"/>
          <w:b/>
          <w:sz w:val="24"/>
        </w:rPr>
        <w:t xml:space="preserve">Share relevant advice with </w:t>
      </w:r>
      <w:r w:rsidR="00A97195" w:rsidRPr="00461BBD">
        <w:rPr>
          <w:rFonts w:cs="Arial"/>
          <w:b/>
          <w:sz w:val="24"/>
        </w:rPr>
        <w:t>those</w:t>
      </w:r>
      <w:r w:rsidRPr="00461BBD">
        <w:rPr>
          <w:rFonts w:cs="Arial"/>
          <w:b/>
          <w:sz w:val="24"/>
        </w:rPr>
        <w:t xml:space="preserve"> using care services</w:t>
      </w:r>
      <w:r w:rsidR="00A97195" w:rsidRPr="00461BBD">
        <w:rPr>
          <w:rFonts w:cs="Arial"/>
          <w:b/>
          <w:sz w:val="24"/>
        </w:rPr>
        <w:t>,</w:t>
      </w:r>
      <w:r w:rsidRPr="00CD6E98">
        <w:rPr>
          <w:rFonts w:cs="Arial"/>
          <w:sz w:val="24"/>
        </w:rPr>
        <w:t xml:space="preserve"> and their relatives</w:t>
      </w:r>
      <w:r w:rsidR="005537CD" w:rsidRPr="00CD6E98">
        <w:rPr>
          <w:rFonts w:cs="Arial"/>
          <w:sz w:val="24"/>
        </w:rPr>
        <w:t xml:space="preserve"> or </w:t>
      </w:r>
      <w:r w:rsidRPr="00CD6E98">
        <w:rPr>
          <w:rFonts w:cs="Arial"/>
          <w:sz w:val="24"/>
        </w:rPr>
        <w:t xml:space="preserve">friends. </w:t>
      </w:r>
      <w:r w:rsidR="006A3DED" w:rsidRPr="00CD6E98">
        <w:rPr>
          <w:rFonts w:cs="Arial"/>
          <w:sz w:val="24"/>
        </w:rPr>
        <w:t xml:space="preserve">Where possible and relevant, keep them </w:t>
      </w:r>
      <w:r w:rsidR="00D24D10" w:rsidRPr="00CD6E98">
        <w:rPr>
          <w:rFonts w:cs="Arial"/>
          <w:sz w:val="24"/>
        </w:rPr>
        <w:t>updated</w:t>
      </w:r>
      <w:r w:rsidR="006A3DED" w:rsidRPr="00CD6E98">
        <w:rPr>
          <w:rFonts w:cs="Arial"/>
          <w:sz w:val="24"/>
        </w:rPr>
        <w:t xml:space="preserve"> on </w:t>
      </w:r>
      <w:r w:rsidR="00B269DD" w:rsidRPr="00CD6E98">
        <w:rPr>
          <w:rFonts w:cs="Arial"/>
          <w:sz w:val="24"/>
        </w:rPr>
        <w:t xml:space="preserve">your </w:t>
      </w:r>
      <w:r w:rsidR="00CB20F2" w:rsidRPr="00CD6E98">
        <w:rPr>
          <w:rFonts w:cs="Arial"/>
          <w:sz w:val="24"/>
        </w:rPr>
        <w:t>plans.</w:t>
      </w:r>
      <w:r w:rsidR="006A3DED" w:rsidRPr="00CD6E98">
        <w:rPr>
          <w:rFonts w:cs="Arial"/>
          <w:sz w:val="24"/>
        </w:rPr>
        <w:t xml:space="preserve"> </w:t>
      </w:r>
    </w:p>
    <w:p w14:paraId="17E5F3EB" w14:textId="77777777" w:rsidR="009B33AB" w:rsidRDefault="00217482" w:rsidP="009B33AB">
      <w:pPr>
        <w:pStyle w:val="ListParagraph"/>
        <w:numPr>
          <w:ilvl w:val="0"/>
          <w:numId w:val="30"/>
        </w:numPr>
        <w:rPr>
          <w:rFonts w:cs="Arial"/>
          <w:sz w:val="24"/>
        </w:rPr>
      </w:pPr>
      <w:r w:rsidRPr="00461BBD">
        <w:rPr>
          <w:rFonts w:cs="Arial"/>
          <w:b/>
          <w:sz w:val="24"/>
        </w:rPr>
        <w:t xml:space="preserve">Ensure you </w:t>
      </w:r>
      <w:r w:rsidR="00B35C09" w:rsidRPr="00461BBD">
        <w:rPr>
          <w:rFonts w:cs="Arial"/>
          <w:b/>
          <w:sz w:val="24"/>
        </w:rPr>
        <w:t xml:space="preserve">know </w:t>
      </w:r>
      <w:r w:rsidRPr="00461BBD">
        <w:rPr>
          <w:rFonts w:cs="Arial"/>
          <w:b/>
          <w:sz w:val="24"/>
        </w:rPr>
        <w:t>the contact details</w:t>
      </w:r>
      <w:r w:rsidRPr="00CD6E98">
        <w:rPr>
          <w:rFonts w:cs="Arial"/>
          <w:sz w:val="24"/>
        </w:rPr>
        <w:t xml:space="preserve"> of all key links, especially your local authority commissioner, and the local health resilience partnership.</w:t>
      </w:r>
    </w:p>
    <w:p w14:paraId="2834F5EC" w14:textId="77777777" w:rsidR="009B33AB" w:rsidRDefault="009B33AB" w:rsidP="009B33AB">
      <w:pPr>
        <w:rPr>
          <w:rFonts w:cs="Arial"/>
          <w:b/>
          <w:sz w:val="24"/>
        </w:rPr>
      </w:pPr>
    </w:p>
    <w:p w14:paraId="4AD3770B" w14:textId="1D67EAD7" w:rsidR="009B33AB" w:rsidRDefault="009B33AB" w:rsidP="009B33AB">
      <w:pPr>
        <w:pBdr>
          <w:top w:val="single" w:sz="4" w:space="1" w:color="auto"/>
          <w:left w:val="single" w:sz="4" w:space="4" w:color="auto"/>
          <w:bottom w:val="single" w:sz="4" w:space="1" w:color="auto"/>
          <w:right w:val="single" w:sz="4" w:space="4" w:color="auto"/>
        </w:pBdr>
        <w:rPr>
          <w:rFonts w:cs="Arial"/>
          <w:b/>
          <w:sz w:val="24"/>
        </w:rPr>
      </w:pPr>
      <w:r w:rsidRPr="009B33AB">
        <w:rPr>
          <w:rFonts w:cs="Arial"/>
          <w:b/>
          <w:sz w:val="24"/>
        </w:rPr>
        <w:t>Coronavirus pandemic 2020</w:t>
      </w:r>
      <w:r>
        <w:rPr>
          <w:rFonts w:cs="Arial"/>
          <w:b/>
          <w:sz w:val="24"/>
        </w:rPr>
        <w:t xml:space="preserve">: </w:t>
      </w:r>
      <w:r w:rsidRPr="009B33AB">
        <w:rPr>
          <w:rFonts w:cs="Arial"/>
          <w:bCs/>
          <w:sz w:val="24"/>
        </w:rPr>
        <w:t xml:space="preserve">This template can be used to support planning, but it does not relate specifically to the coronavirus pandemic. </w:t>
      </w:r>
      <w:hyperlink r:id="rId10" w:history="1">
        <w:r w:rsidRPr="009B33AB">
          <w:rPr>
            <w:rStyle w:val="Hyperlink"/>
            <w:rFonts w:cs="Arial"/>
            <w:bCs/>
            <w:sz w:val="24"/>
          </w:rPr>
          <w:t>See CPA’s collated information on coronavirus.</w:t>
        </w:r>
      </w:hyperlink>
    </w:p>
    <w:p w14:paraId="33E6ED80" w14:textId="77777777" w:rsidR="00F81DBA" w:rsidRDefault="00F81DBA">
      <w:pPr>
        <w:rPr>
          <w:rFonts w:cs="Arial"/>
        </w:rPr>
      </w:pPr>
    </w:p>
    <w:p w14:paraId="29EA99E3" w14:textId="77777777" w:rsidR="00F81DBA" w:rsidRPr="009B33AB" w:rsidRDefault="00F81DBA" w:rsidP="00965F5D">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b/>
          <w:color w:val="00448A"/>
          <w:szCs w:val="22"/>
        </w:rPr>
      </w:pPr>
      <w:r w:rsidRPr="009B33AB">
        <w:rPr>
          <w:rFonts w:cs="Arial"/>
          <w:b/>
          <w:color w:val="00448A"/>
          <w:szCs w:val="22"/>
        </w:rPr>
        <w:t>Key</w:t>
      </w:r>
    </w:p>
    <w:p w14:paraId="3EFF0A45" w14:textId="45CF3E37" w:rsidR="00CD6E98" w:rsidRPr="009B33AB" w:rsidRDefault="00F81DBA" w:rsidP="00965F5D">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Cs w:val="22"/>
        </w:rPr>
      </w:pPr>
      <w:r w:rsidRPr="009B33AB">
        <w:rPr>
          <w:rFonts w:cs="Arial"/>
          <w:b/>
          <w:szCs w:val="22"/>
        </w:rPr>
        <w:t>Likelihood</w:t>
      </w:r>
      <w:r w:rsidRPr="009B33AB">
        <w:rPr>
          <w:rFonts w:cs="Arial"/>
          <w:szCs w:val="22"/>
        </w:rPr>
        <w:t xml:space="preserve"> relates to the likelihood of the situation arising and can be rated as Red = Likely Amber = Possible and Green = Unlikely. </w:t>
      </w:r>
    </w:p>
    <w:p w14:paraId="233A1885" w14:textId="77777777" w:rsidR="00CD6E98" w:rsidRPr="009B33AB" w:rsidRDefault="00CD6E98" w:rsidP="00965F5D">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Cs w:val="22"/>
        </w:rPr>
      </w:pPr>
    </w:p>
    <w:p w14:paraId="32594FD4" w14:textId="473380C8" w:rsidR="009B33AB" w:rsidRPr="009B33AB" w:rsidRDefault="00F81DBA" w:rsidP="009B33AB">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Cs w:val="22"/>
        </w:rPr>
      </w:pPr>
      <w:r w:rsidRPr="009B33AB">
        <w:rPr>
          <w:rFonts w:cs="Arial"/>
          <w:b/>
          <w:szCs w:val="22"/>
        </w:rPr>
        <w:t>Impact</w:t>
      </w:r>
      <w:r w:rsidRPr="009B33AB">
        <w:rPr>
          <w:rFonts w:cs="Arial"/>
          <w:szCs w:val="22"/>
        </w:rPr>
        <w:t xml:space="preserve"> relates to the impact on your ability to maintain your business and care if that situation did arise. Again Red = High impact, Amber = Medium level impact and Green = Little or no impact.</w:t>
      </w:r>
    </w:p>
    <w:p w14:paraId="4D3DAC0A" w14:textId="71FA81FA" w:rsidR="0092044D" w:rsidRDefault="00682A9E" w:rsidP="00CB20F2">
      <w:pPr>
        <w:rPr>
          <w:rFonts w:cs="Arial"/>
          <w:b/>
        </w:rPr>
      </w:pPr>
      <w:r w:rsidRPr="00682A9E">
        <w:rPr>
          <w:rFonts w:cs="Arial"/>
          <w:b/>
        </w:rPr>
        <w:lastRenderedPageBreak/>
        <w:t>Name of service</w:t>
      </w:r>
      <w:r w:rsidR="0092044D">
        <w:rPr>
          <w:rFonts w:cs="Arial"/>
          <w:b/>
        </w:rPr>
        <w:t>…………………………………….</w:t>
      </w:r>
    </w:p>
    <w:p w14:paraId="7241AAC2" w14:textId="28A140BF" w:rsidR="006A3DED" w:rsidRPr="00682A9E" w:rsidRDefault="00682A9E" w:rsidP="00CB20F2">
      <w:pPr>
        <w:rPr>
          <w:rFonts w:cs="Arial"/>
          <w:b/>
        </w:rPr>
      </w:pPr>
      <w:r w:rsidRPr="00682A9E">
        <w:rPr>
          <w:rFonts w:cs="Arial"/>
          <w:b/>
        </w:rPr>
        <w:tab/>
      </w:r>
      <w:r w:rsidRPr="00682A9E">
        <w:rPr>
          <w:rFonts w:cs="Arial"/>
          <w:b/>
        </w:rPr>
        <w:tab/>
      </w:r>
      <w:r w:rsidRPr="00682A9E">
        <w:rPr>
          <w:rFonts w:cs="Arial"/>
          <w:b/>
        </w:rPr>
        <w:tab/>
      </w:r>
      <w:r w:rsidRPr="00682A9E">
        <w:rPr>
          <w:rFonts w:cs="Arial"/>
          <w:b/>
        </w:rPr>
        <w:tab/>
      </w:r>
      <w:r w:rsidRPr="00682A9E">
        <w:rPr>
          <w:rFonts w:cs="Arial"/>
          <w:b/>
        </w:rPr>
        <w:tab/>
      </w:r>
    </w:p>
    <w:p w14:paraId="51DE0A46" w14:textId="577B2D9E" w:rsidR="00682A9E" w:rsidRDefault="00682A9E" w:rsidP="00CB20F2">
      <w:pPr>
        <w:rPr>
          <w:rFonts w:cs="Arial"/>
          <w:b/>
        </w:rPr>
      </w:pPr>
      <w:r w:rsidRPr="00682A9E">
        <w:rPr>
          <w:rFonts w:cs="Arial"/>
          <w:b/>
        </w:rPr>
        <w:t xml:space="preserve">Version </w:t>
      </w:r>
      <w:r w:rsidRPr="0092044D">
        <w:rPr>
          <w:rFonts w:cs="Arial"/>
          <w:b/>
          <w:i/>
        </w:rPr>
        <w:t>x</w:t>
      </w:r>
      <w:r w:rsidRPr="00682A9E">
        <w:rPr>
          <w:rFonts w:cs="Arial"/>
          <w:b/>
        </w:rPr>
        <w:t xml:space="preserve">, update </w:t>
      </w:r>
      <w:r w:rsidR="0092044D" w:rsidRPr="0092044D">
        <w:rPr>
          <w:rFonts w:cs="Arial"/>
          <w:b/>
          <w:i/>
        </w:rPr>
        <w:t>Date</w:t>
      </w:r>
      <w:r w:rsidRPr="00682A9E">
        <w:rPr>
          <w:rFonts w:cs="Arial"/>
          <w:b/>
        </w:rPr>
        <w:t xml:space="preserve"> by </w:t>
      </w:r>
      <w:r w:rsidR="0092044D" w:rsidRPr="0092044D">
        <w:rPr>
          <w:rFonts w:cs="Arial"/>
          <w:b/>
          <w:i/>
        </w:rPr>
        <w:t>Name</w:t>
      </w:r>
      <w:r w:rsidR="0092044D">
        <w:rPr>
          <w:rFonts w:cs="Arial"/>
          <w:b/>
        </w:rPr>
        <w:t xml:space="preserve"> </w:t>
      </w:r>
    </w:p>
    <w:p w14:paraId="2B91E376" w14:textId="77777777" w:rsidR="009B33AB" w:rsidRPr="00682A9E" w:rsidRDefault="009B33AB" w:rsidP="00CB20F2">
      <w:pPr>
        <w:rPr>
          <w:rFonts w:cs="Arial"/>
          <w:b/>
        </w:rPr>
      </w:pPr>
    </w:p>
    <w:p w14:paraId="4CF3DA1A" w14:textId="77777777" w:rsidR="00682A9E" w:rsidRPr="00CB20F2" w:rsidRDefault="00682A9E" w:rsidP="00CB20F2">
      <w:pPr>
        <w:rPr>
          <w:rFonts w:cs="Arial"/>
        </w:rPr>
      </w:pPr>
    </w:p>
    <w:tbl>
      <w:tblPr>
        <w:tblStyle w:val="TableGrid"/>
        <w:tblW w:w="5000" w:type="pct"/>
        <w:tblLook w:val="04A0" w:firstRow="1" w:lastRow="0" w:firstColumn="1" w:lastColumn="0" w:noHBand="0" w:noVBand="1"/>
      </w:tblPr>
      <w:tblGrid>
        <w:gridCol w:w="1754"/>
        <w:gridCol w:w="2711"/>
        <w:gridCol w:w="1393"/>
        <w:gridCol w:w="1393"/>
        <w:gridCol w:w="4322"/>
        <w:gridCol w:w="951"/>
        <w:gridCol w:w="1426"/>
      </w:tblGrid>
      <w:tr w:rsidR="00C34ADC" w:rsidRPr="00AF3E74" w14:paraId="69F89741" w14:textId="77777777" w:rsidTr="00515974">
        <w:trPr>
          <w:trHeight w:val="879"/>
          <w:tblHeader/>
        </w:trPr>
        <w:tc>
          <w:tcPr>
            <w:tcW w:w="629" w:type="pct"/>
            <w:shd w:val="clear" w:color="auto" w:fill="2F5496" w:themeFill="accent1" w:themeFillShade="BF"/>
          </w:tcPr>
          <w:p w14:paraId="66FF6DC7" w14:textId="61CD794B" w:rsidR="00B76FAC" w:rsidRPr="00AF3E74" w:rsidRDefault="00B76FAC" w:rsidP="00E477D6">
            <w:pPr>
              <w:spacing w:before="120" w:after="120"/>
              <w:rPr>
                <w:rFonts w:cs="Arial"/>
                <w:b/>
              </w:rPr>
            </w:pPr>
            <w:r w:rsidRPr="001A19B4">
              <w:rPr>
                <w:rFonts w:cs="Arial"/>
                <w:b/>
                <w:color w:val="FFFFFF" w:themeColor="background1"/>
              </w:rPr>
              <w:t>Key theme</w:t>
            </w:r>
          </w:p>
        </w:tc>
        <w:tc>
          <w:tcPr>
            <w:tcW w:w="972" w:type="pct"/>
            <w:shd w:val="clear" w:color="auto" w:fill="2F5496" w:themeFill="accent1" w:themeFillShade="BF"/>
          </w:tcPr>
          <w:p w14:paraId="70235072" w14:textId="77777777" w:rsidR="00B76FAC" w:rsidRPr="00AF3E74" w:rsidRDefault="00B76FAC" w:rsidP="00E477D6">
            <w:pPr>
              <w:spacing w:before="120" w:after="120"/>
              <w:rPr>
                <w:rFonts w:cs="Arial"/>
                <w:b/>
              </w:rPr>
            </w:pPr>
            <w:r w:rsidRPr="001A19B4">
              <w:rPr>
                <w:rFonts w:cs="Arial"/>
                <w:b/>
                <w:color w:val="FFFFFF" w:themeColor="background1"/>
              </w:rPr>
              <w:t>Business issue</w:t>
            </w:r>
          </w:p>
        </w:tc>
        <w:tc>
          <w:tcPr>
            <w:tcW w:w="499" w:type="pct"/>
            <w:shd w:val="clear" w:color="auto" w:fill="2F5496" w:themeFill="accent1" w:themeFillShade="BF"/>
          </w:tcPr>
          <w:p w14:paraId="65AF55EC" w14:textId="39A500EC" w:rsidR="00B76FAC" w:rsidRPr="001A19B4" w:rsidRDefault="00B76FAC" w:rsidP="002F3514">
            <w:pPr>
              <w:spacing w:before="120" w:after="120"/>
              <w:rPr>
                <w:rFonts w:cs="Arial"/>
                <w:b/>
                <w:color w:val="FFFFFF" w:themeColor="background1"/>
              </w:rPr>
            </w:pPr>
            <w:r>
              <w:rPr>
                <w:rFonts w:cs="Arial"/>
                <w:b/>
                <w:color w:val="FFFFFF" w:themeColor="background1"/>
              </w:rPr>
              <w:t>Likelihood</w:t>
            </w:r>
          </w:p>
          <w:tbl>
            <w:tblPr>
              <w:tblStyle w:val="TableGrid"/>
              <w:tblpPr w:leftFromText="180" w:rightFromText="180" w:vertAnchor="text" w:horzAnchor="page" w:tblpXSpec="center" w:tblpY="-18"/>
              <w:tblOverlap w:val="never"/>
              <w:tblW w:w="1167" w:type="dxa"/>
              <w:tblLook w:val="04A0" w:firstRow="1" w:lastRow="0" w:firstColumn="1" w:lastColumn="0" w:noHBand="0" w:noVBand="1"/>
            </w:tblPr>
            <w:tblGrid>
              <w:gridCol w:w="389"/>
              <w:gridCol w:w="389"/>
              <w:gridCol w:w="389"/>
            </w:tblGrid>
            <w:tr w:rsidR="00B76FAC" w14:paraId="089A1DA4" w14:textId="77777777" w:rsidTr="001242C3">
              <w:trPr>
                <w:trHeight w:val="270"/>
              </w:trPr>
              <w:tc>
                <w:tcPr>
                  <w:tcW w:w="389" w:type="dxa"/>
                  <w:shd w:val="clear" w:color="auto" w:fill="FF0000"/>
                  <w:vAlign w:val="center"/>
                </w:tcPr>
                <w:p w14:paraId="32698571" w14:textId="77777777" w:rsidR="00B76FAC" w:rsidRDefault="00B76FAC" w:rsidP="00FC0E0B">
                  <w:pPr>
                    <w:jc w:val="center"/>
                    <w:rPr>
                      <w:rFonts w:cs="Arial"/>
                      <w:b/>
                    </w:rPr>
                  </w:pPr>
                  <w:r>
                    <w:rPr>
                      <w:rFonts w:cs="Arial"/>
                      <w:b/>
                    </w:rPr>
                    <w:t>R</w:t>
                  </w:r>
                </w:p>
              </w:tc>
              <w:tc>
                <w:tcPr>
                  <w:tcW w:w="389" w:type="dxa"/>
                  <w:shd w:val="clear" w:color="auto" w:fill="FFFF00"/>
                  <w:vAlign w:val="center"/>
                </w:tcPr>
                <w:p w14:paraId="153113E6" w14:textId="77777777" w:rsidR="00B76FAC" w:rsidRDefault="00B76FAC" w:rsidP="00FC0E0B">
                  <w:pPr>
                    <w:jc w:val="center"/>
                    <w:rPr>
                      <w:rFonts w:cs="Arial"/>
                      <w:b/>
                    </w:rPr>
                  </w:pPr>
                  <w:r>
                    <w:rPr>
                      <w:rFonts w:cs="Arial"/>
                      <w:b/>
                    </w:rPr>
                    <w:t>A</w:t>
                  </w:r>
                </w:p>
              </w:tc>
              <w:tc>
                <w:tcPr>
                  <w:tcW w:w="389" w:type="dxa"/>
                  <w:shd w:val="clear" w:color="auto" w:fill="92D050"/>
                  <w:vAlign w:val="center"/>
                </w:tcPr>
                <w:p w14:paraId="16D51BD9" w14:textId="77777777" w:rsidR="00B76FAC" w:rsidRDefault="00B76FAC" w:rsidP="00FC0E0B">
                  <w:pPr>
                    <w:jc w:val="center"/>
                    <w:rPr>
                      <w:rFonts w:cs="Arial"/>
                      <w:b/>
                    </w:rPr>
                  </w:pPr>
                  <w:r>
                    <w:rPr>
                      <w:rFonts w:cs="Arial"/>
                      <w:b/>
                    </w:rPr>
                    <w:t>G</w:t>
                  </w:r>
                </w:p>
              </w:tc>
            </w:tr>
          </w:tbl>
          <w:p w14:paraId="15D20780" w14:textId="62836465" w:rsidR="00B76FAC" w:rsidRPr="00AF3E74" w:rsidRDefault="00B76FAC" w:rsidP="00E477D6">
            <w:pPr>
              <w:spacing w:before="120" w:after="120"/>
              <w:rPr>
                <w:rFonts w:cs="Arial"/>
                <w:b/>
              </w:rPr>
            </w:pPr>
          </w:p>
        </w:tc>
        <w:tc>
          <w:tcPr>
            <w:tcW w:w="499" w:type="pct"/>
            <w:shd w:val="clear" w:color="auto" w:fill="2F5496" w:themeFill="accent1" w:themeFillShade="BF"/>
          </w:tcPr>
          <w:p w14:paraId="509896D3" w14:textId="77777777" w:rsidR="00B76FAC" w:rsidRDefault="00B76FAC" w:rsidP="00E477D6">
            <w:pPr>
              <w:spacing w:before="120" w:after="120"/>
              <w:rPr>
                <w:rFonts w:cs="Arial"/>
                <w:b/>
                <w:color w:val="FFFFFF" w:themeColor="background1"/>
              </w:rPr>
            </w:pPr>
            <w:r>
              <w:rPr>
                <w:rFonts w:cs="Arial"/>
                <w:b/>
                <w:color w:val="FFFFFF" w:themeColor="background1"/>
              </w:rPr>
              <w:t>Impact</w:t>
            </w:r>
          </w:p>
          <w:tbl>
            <w:tblPr>
              <w:tblStyle w:val="TableGrid"/>
              <w:tblpPr w:leftFromText="180" w:rightFromText="180" w:vertAnchor="text" w:horzAnchor="page" w:tblpXSpec="center" w:tblpY="-18"/>
              <w:tblOverlap w:val="never"/>
              <w:tblW w:w="1167" w:type="dxa"/>
              <w:tblLook w:val="04A0" w:firstRow="1" w:lastRow="0" w:firstColumn="1" w:lastColumn="0" w:noHBand="0" w:noVBand="1"/>
            </w:tblPr>
            <w:tblGrid>
              <w:gridCol w:w="389"/>
              <w:gridCol w:w="389"/>
              <w:gridCol w:w="389"/>
            </w:tblGrid>
            <w:tr w:rsidR="00B76FAC" w14:paraId="37162455" w14:textId="77777777" w:rsidTr="001242C3">
              <w:trPr>
                <w:trHeight w:val="270"/>
              </w:trPr>
              <w:tc>
                <w:tcPr>
                  <w:tcW w:w="389" w:type="dxa"/>
                  <w:shd w:val="clear" w:color="auto" w:fill="FF0000"/>
                  <w:vAlign w:val="center"/>
                </w:tcPr>
                <w:p w14:paraId="08917E17" w14:textId="77777777" w:rsidR="00B76FAC" w:rsidRDefault="00B76FAC" w:rsidP="00CF1F98">
                  <w:pPr>
                    <w:jc w:val="center"/>
                    <w:rPr>
                      <w:rFonts w:cs="Arial"/>
                      <w:b/>
                    </w:rPr>
                  </w:pPr>
                  <w:r>
                    <w:rPr>
                      <w:rFonts w:cs="Arial"/>
                      <w:b/>
                    </w:rPr>
                    <w:t>R</w:t>
                  </w:r>
                </w:p>
              </w:tc>
              <w:tc>
                <w:tcPr>
                  <w:tcW w:w="389" w:type="dxa"/>
                  <w:shd w:val="clear" w:color="auto" w:fill="FFFF00"/>
                  <w:vAlign w:val="center"/>
                </w:tcPr>
                <w:p w14:paraId="509EEBAE" w14:textId="77777777" w:rsidR="00B76FAC" w:rsidRDefault="00B76FAC" w:rsidP="00CF1F98">
                  <w:pPr>
                    <w:jc w:val="center"/>
                    <w:rPr>
                      <w:rFonts w:cs="Arial"/>
                      <w:b/>
                    </w:rPr>
                  </w:pPr>
                  <w:r>
                    <w:rPr>
                      <w:rFonts w:cs="Arial"/>
                      <w:b/>
                    </w:rPr>
                    <w:t>A</w:t>
                  </w:r>
                </w:p>
              </w:tc>
              <w:tc>
                <w:tcPr>
                  <w:tcW w:w="389" w:type="dxa"/>
                  <w:shd w:val="clear" w:color="auto" w:fill="92D050"/>
                  <w:vAlign w:val="center"/>
                </w:tcPr>
                <w:p w14:paraId="7BC45C4E" w14:textId="77777777" w:rsidR="00B76FAC" w:rsidRDefault="00B76FAC" w:rsidP="00CF1F98">
                  <w:pPr>
                    <w:jc w:val="center"/>
                    <w:rPr>
                      <w:rFonts w:cs="Arial"/>
                      <w:b/>
                    </w:rPr>
                  </w:pPr>
                  <w:r>
                    <w:rPr>
                      <w:rFonts w:cs="Arial"/>
                      <w:b/>
                    </w:rPr>
                    <w:t>G</w:t>
                  </w:r>
                </w:p>
              </w:tc>
            </w:tr>
          </w:tbl>
          <w:p w14:paraId="666FC7B1" w14:textId="22E1EEF3" w:rsidR="00B76FAC" w:rsidRPr="001A19B4" w:rsidRDefault="00B76FAC" w:rsidP="00E477D6">
            <w:pPr>
              <w:spacing w:before="120" w:after="120"/>
              <w:rPr>
                <w:rFonts w:cs="Arial"/>
                <w:b/>
                <w:color w:val="FFFFFF" w:themeColor="background1"/>
              </w:rPr>
            </w:pPr>
          </w:p>
        </w:tc>
        <w:tc>
          <w:tcPr>
            <w:tcW w:w="1549" w:type="pct"/>
            <w:shd w:val="clear" w:color="auto" w:fill="2F5496" w:themeFill="accent1" w:themeFillShade="BF"/>
          </w:tcPr>
          <w:p w14:paraId="35766423" w14:textId="68C8479A" w:rsidR="00B76FAC" w:rsidRPr="00AF3E74" w:rsidRDefault="00B76FAC" w:rsidP="00E477D6">
            <w:pPr>
              <w:spacing w:before="120" w:after="120"/>
              <w:rPr>
                <w:rFonts w:cs="Arial"/>
                <w:b/>
              </w:rPr>
            </w:pPr>
            <w:r w:rsidRPr="001A19B4">
              <w:rPr>
                <w:rFonts w:cs="Arial"/>
                <w:b/>
                <w:color w:val="FFFFFF" w:themeColor="background1"/>
              </w:rPr>
              <w:t>Mitigating actions</w:t>
            </w:r>
          </w:p>
        </w:tc>
        <w:tc>
          <w:tcPr>
            <w:tcW w:w="341" w:type="pct"/>
            <w:shd w:val="clear" w:color="auto" w:fill="2F5496" w:themeFill="accent1" w:themeFillShade="BF"/>
          </w:tcPr>
          <w:p w14:paraId="1A55E011" w14:textId="6E7F0E80" w:rsidR="00B76FAC" w:rsidRPr="00AF3E74" w:rsidRDefault="00B76FAC" w:rsidP="00804642">
            <w:pPr>
              <w:spacing w:before="120" w:after="120"/>
              <w:rPr>
                <w:rFonts w:cs="Arial"/>
                <w:b/>
              </w:rPr>
            </w:pPr>
            <w:r>
              <w:rPr>
                <w:rFonts w:cs="Arial"/>
                <w:b/>
                <w:color w:val="FFFFFF" w:themeColor="background1"/>
              </w:rPr>
              <w:t>Lead person</w:t>
            </w:r>
          </w:p>
        </w:tc>
        <w:tc>
          <w:tcPr>
            <w:tcW w:w="511" w:type="pct"/>
            <w:shd w:val="clear" w:color="auto" w:fill="2F5496" w:themeFill="accent1" w:themeFillShade="BF"/>
          </w:tcPr>
          <w:p w14:paraId="6B81B48E" w14:textId="77777777" w:rsidR="00B76FAC" w:rsidRPr="00AF3E74" w:rsidRDefault="00B76FAC" w:rsidP="00E477D6">
            <w:pPr>
              <w:spacing w:before="120" w:after="120"/>
              <w:rPr>
                <w:rFonts w:cs="Arial"/>
                <w:b/>
              </w:rPr>
            </w:pPr>
            <w:r w:rsidRPr="001A19B4">
              <w:rPr>
                <w:rFonts w:cs="Arial"/>
                <w:b/>
                <w:color w:val="FFFFFF" w:themeColor="background1"/>
              </w:rPr>
              <w:t>Completion date</w:t>
            </w:r>
          </w:p>
        </w:tc>
      </w:tr>
      <w:tr w:rsidR="00515974" w:rsidRPr="00AF3E74" w14:paraId="11FEB53B" w14:textId="77777777" w:rsidTr="00515974">
        <w:trPr>
          <w:trHeight w:val="557"/>
        </w:trPr>
        <w:tc>
          <w:tcPr>
            <w:tcW w:w="629" w:type="pct"/>
            <w:shd w:val="clear" w:color="auto" w:fill="D9E2F3" w:themeFill="accent1" w:themeFillTint="33"/>
          </w:tcPr>
          <w:p w14:paraId="3B61DF82" w14:textId="77777777" w:rsidR="00515974" w:rsidRPr="00FD296E" w:rsidRDefault="00515974" w:rsidP="00A20B3F">
            <w:pPr>
              <w:spacing w:before="120" w:after="120"/>
              <w:rPr>
                <w:rFonts w:cs="Arial"/>
                <w:b/>
                <w:szCs w:val="22"/>
              </w:rPr>
            </w:pPr>
            <w:r>
              <w:rPr>
                <w:rFonts w:cs="Arial"/>
                <w:b/>
                <w:szCs w:val="22"/>
              </w:rPr>
              <w:t>Flu and other viral infections</w:t>
            </w:r>
          </w:p>
        </w:tc>
        <w:tc>
          <w:tcPr>
            <w:tcW w:w="972" w:type="pct"/>
          </w:tcPr>
          <w:p w14:paraId="34C84A6E" w14:textId="77777777" w:rsidR="00515974" w:rsidRDefault="00515974" w:rsidP="00A20B3F">
            <w:pPr>
              <w:pStyle w:val="Tablecolumn"/>
              <w:keepLines/>
              <w:ind w:left="-65"/>
            </w:pPr>
            <w:r>
              <w:t>Potential for increased healthcare need amongst clients</w:t>
            </w:r>
          </w:p>
          <w:p w14:paraId="02DC2D64" w14:textId="77777777" w:rsidR="00515974" w:rsidRPr="0082478F" w:rsidRDefault="00515974" w:rsidP="00A20B3F">
            <w:pPr>
              <w:pStyle w:val="Tablecolumn"/>
              <w:keepLines/>
              <w:ind w:left="-65"/>
            </w:pPr>
            <w:r>
              <w:t>Potential for staff shortages due to illness</w:t>
            </w:r>
          </w:p>
        </w:tc>
        <w:tc>
          <w:tcPr>
            <w:tcW w:w="499" w:type="pct"/>
          </w:tcPr>
          <w:p w14:paraId="53C5F71F" w14:textId="77777777" w:rsidR="00515974" w:rsidRPr="00FD296E" w:rsidRDefault="00515974" w:rsidP="00A20B3F">
            <w:pPr>
              <w:keepLines/>
              <w:rPr>
                <w:rFonts w:cs="Arial"/>
                <w:szCs w:val="22"/>
              </w:rPr>
            </w:pPr>
          </w:p>
        </w:tc>
        <w:tc>
          <w:tcPr>
            <w:tcW w:w="499" w:type="pct"/>
          </w:tcPr>
          <w:p w14:paraId="6CA63707" w14:textId="77777777" w:rsidR="00515974" w:rsidRPr="00CF1F98" w:rsidRDefault="00515974" w:rsidP="00A20B3F">
            <w:pPr>
              <w:spacing w:after="120"/>
              <w:ind w:left="-108"/>
              <w:rPr>
                <w:rFonts w:cs="Arial"/>
              </w:rPr>
            </w:pPr>
          </w:p>
        </w:tc>
        <w:tc>
          <w:tcPr>
            <w:tcW w:w="1549" w:type="pct"/>
          </w:tcPr>
          <w:p w14:paraId="3F9A056C" w14:textId="77777777" w:rsidR="00515974" w:rsidRDefault="00515974" w:rsidP="00A20B3F">
            <w:pPr>
              <w:pStyle w:val="ListParagraph"/>
              <w:numPr>
                <w:ilvl w:val="0"/>
                <w:numId w:val="26"/>
              </w:numPr>
              <w:spacing w:after="120"/>
              <w:ind w:left="175" w:hanging="283"/>
              <w:rPr>
                <w:rFonts w:cs="Arial"/>
              </w:rPr>
            </w:pPr>
            <w:r w:rsidRPr="00553D2A">
              <w:rPr>
                <w:rFonts w:cs="Arial"/>
              </w:rPr>
              <w:t>Maintain a focus on infection control</w:t>
            </w:r>
          </w:p>
          <w:p w14:paraId="12CEE012" w14:textId="77777777" w:rsidR="00515974" w:rsidRDefault="00515974" w:rsidP="00A20B3F">
            <w:pPr>
              <w:pStyle w:val="ListParagraph"/>
              <w:numPr>
                <w:ilvl w:val="0"/>
                <w:numId w:val="26"/>
              </w:numPr>
              <w:spacing w:after="120"/>
              <w:ind w:left="175" w:hanging="283"/>
              <w:rPr>
                <w:rFonts w:cs="Arial"/>
              </w:rPr>
            </w:pPr>
            <w:r w:rsidRPr="003254C7">
              <w:rPr>
                <w:rFonts w:cs="Arial"/>
              </w:rPr>
              <w:t>Communicate clearly with staff and people receiving care</w:t>
            </w:r>
          </w:p>
          <w:p w14:paraId="2576D23B" w14:textId="77777777" w:rsidR="00515974" w:rsidRDefault="00515974" w:rsidP="00A20B3F">
            <w:pPr>
              <w:pStyle w:val="ListParagraph"/>
              <w:numPr>
                <w:ilvl w:val="0"/>
                <w:numId w:val="26"/>
              </w:numPr>
              <w:spacing w:after="120"/>
              <w:ind w:left="175" w:hanging="283"/>
              <w:rPr>
                <w:rFonts w:cs="Arial"/>
              </w:rPr>
            </w:pPr>
            <w:r w:rsidRPr="003254C7">
              <w:rPr>
                <w:rFonts w:cs="Arial"/>
              </w:rPr>
              <w:t>Plan how to manage prolonged staff shortages</w:t>
            </w:r>
          </w:p>
          <w:p w14:paraId="5A6BE40B" w14:textId="77777777" w:rsidR="00515974" w:rsidRDefault="00515974" w:rsidP="00A20B3F">
            <w:pPr>
              <w:pStyle w:val="ListParagraph"/>
              <w:numPr>
                <w:ilvl w:val="0"/>
                <w:numId w:val="26"/>
              </w:numPr>
              <w:spacing w:after="120"/>
              <w:ind w:left="175" w:hanging="283"/>
              <w:rPr>
                <w:rFonts w:cs="Arial"/>
              </w:rPr>
            </w:pPr>
            <w:r w:rsidRPr="003254C7">
              <w:rPr>
                <w:rFonts w:cs="Arial"/>
              </w:rPr>
              <w:t>Prioritise care if required</w:t>
            </w:r>
          </w:p>
          <w:p w14:paraId="78186630" w14:textId="77777777" w:rsidR="00515974" w:rsidRDefault="00515974" w:rsidP="00A20B3F">
            <w:pPr>
              <w:pStyle w:val="Tablecolumn"/>
              <w:keepLines/>
              <w:numPr>
                <w:ilvl w:val="0"/>
                <w:numId w:val="26"/>
              </w:numPr>
              <w:ind w:left="173" w:hanging="238"/>
            </w:pPr>
            <w:r>
              <w:t>Review criteria for prioritising care</w:t>
            </w:r>
          </w:p>
          <w:p w14:paraId="7C6A46A2" w14:textId="77777777" w:rsidR="008359F4" w:rsidRDefault="00515974" w:rsidP="008359F4">
            <w:pPr>
              <w:pStyle w:val="Tablecolumn"/>
              <w:keepLines/>
              <w:numPr>
                <w:ilvl w:val="0"/>
                <w:numId w:val="26"/>
              </w:numPr>
              <w:ind w:left="173" w:hanging="238"/>
            </w:pPr>
            <w:r>
              <w:t>Identify agencies to supply temporary staff</w:t>
            </w:r>
          </w:p>
          <w:p w14:paraId="7402B908" w14:textId="078B0C7A" w:rsidR="008359F4" w:rsidRPr="008359F4" w:rsidRDefault="008359F4" w:rsidP="008359F4">
            <w:pPr>
              <w:pStyle w:val="Tablecolumn"/>
              <w:keepLines/>
              <w:numPr>
                <w:ilvl w:val="0"/>
                <w:numId w:val="26"/>
              </w:numPr>
              <w:ind w:left="173" w:hanging="238"/>
            </w:pPr>
            <w:r>
              <w:t xml:space="preserve">Access Department of Health and Social Care’s guidance on responding to flu pandemics, including </w:t>
            </w:r>
            <w:hyperlink r:id="rId11" w:history="1">
              <w:r w:rsidRPr="0062304F">
                <w:rPr>
                  <w:rStyle w:val="Hyperlink"/>
                </w:rPr>
                <w:t>coronavirus 2020 outbreak.</w:t>
              </w:r>
            </w:hyperlink>
          </w:p>
          <w:p w14:paraId="7993B053" w14:textId="77777777" w:rsidR="00515974" w:rsidRPr="00CF1F98" w:rsidRDefault="00515974" w:rsidP="00A20B3F">
            <w:pPr>
              <w:pStyle w:val="Tablecolumn"/>
              <w:keepLines/>
              <w:numPr>
                <w:ilvl w:val="0"/>
                <w:numId w:val="26"/>
              </w:numPr>
              <w:ind w:left="173" w:hanging="238"/>
            </w:pPr>
            <w:r>
              <w:t>Review infection control procedures and training.</w:t>
            </w:r>
          </w:p>
        </w:tc>
        <w:tc>
          <w:tcPr>
            <w:tcW w:w="341" w:type="pct"/>
          </w:tcPr>
          <w:p w14:paraId="31E061B4" w14:textId="77777777" w:rsidR="00515974" w:rsidRPr="00AF3E74" w:rsidRDefault="00515974" w:rsidP="00A20B3F">
            <w:pPr>
              <w:pStyle w:val="ListBullet"/>
              <w:numPr>
                <w:ilvl w:val="0"/>
                <w:numId w:val="0"/>
              </w:numPr>
              <w:spacing w:before="0" w:after="0"/>
              <w:ind w:left="357"/>
            </w:pPr>
          </w:p>
        </w:tc>
        <w:tc>
          <w:tcPr>
            <w:tcW w:w="511" w:type="pct"/>
          </w:tcPr>
          <w:p w14:paraId="0811127B" w14:textId="77777777" w:rsidR="00515974" w:rsidRPr="00AF3E74" w:rsidRDefault="00515974" w:rsidP="00A20B3F">
            <w:pPr>
              <w:rPr>
                <w:rFonts w:cs="Arial"/>
              </w:rPr>
            </w:pPr>
          </w:p>
        </w:tc>
      </w:tr>
      <w:tr w:rsidR="00515974" w:rsidRPr="00AF3E74" w14:paraId="2FB2210E" w14:textId="77777777" w:rsidTr="00A20B3F">
        <w:trPr>
          <w:trHeight w:val="557"/>
        </w:trPr>
        <w:tc>
          <w:tcPr>
            <w:tcW w:w="629" w:type="pct"/>
            <w:shd w:val="clear" w:color="auto" w:fill="D9E2F3" w:themeFill="accent1" w:themeFillTint="33"/>
          </w:tcPr>
          <w:p w14:paraId="6D12A216" w14:textId="77777777" w:rsidR="00515974" w:rsidRPr="00FD296E" w:rsidRDefault="00515974" w:rsidP="00A20B3F">
            <w:pPr>
              <w:spacing w:before="120" w:after="120"/>
              <w:rPr>
                <w:rFonts w:cs="Arial"/>
                <w:b/>
                <w:szCs w:val="22"/>
              </w:rPr>
            </w:pPr>
            <w:r w:rsidRPr="00FD296E">
              <w:rPr>
                <w:rFonts w:cs="Arial"/>
                <w:b/>
                <w:szCs w:val="22"/>
              </w:rPr>
              <w:t>Data sharing, processing and access</w:t>
            </w:r>
          </w:p>
          <w:p w14:paraId="7EE11F4C" w14:textId="77777777" w:rsidR="00515974" w:rsidRPr="00FD296E" w:rsidRDefault="00515974" w:rsidP="00A20B3F">
            <w:pPr>
              <w:rPr>
                <w:rFonts w:cs="Arial"/>
                <w:szCs w:val="22"/>
              </w:rPr>
            </w:pPr>
          </w:p>
        </w:tc>
        <w:tc>
          <w:tcPr>
            <w:tcW w:w="972" w:type="pct"/>
          </w:tcPr>
          <w:p w14:paraId="1D7AA9D0" w14:textId="77777777" w:rsidR="00515974" w:rsidRDefault="00515974" w:rsidP="00A20B3F">
            <w:pPr>
              <w:pStyle w:val="Tablecolumn"/>
              <w:keepLines/>
              <w:ind w:left="-65"/>
            </w:pPr>
            <w:r w:rsidRPr="0082478F">
              <w:t>Potential for data transfer or access to be interrupted</w:t>
            </w:r>
            <w:r>
              <w:t>.</w:t>
            </w:r>
          </w:p>
          <w:p w14:paraId="05D14624" w14:textId="77777777" w:rsidR="00515974" w:rsidRPr="0082478F" w:rsidRDefault="00515974" w:rsidP="00A20B3F">
            <w:pPr>
              <w:pStyle w:val="Tablecolumn"/>
              <w:keepLines/>
              <w:ind w:left="-65"/>
            </w:pPr>
            <w:r>
              <w:t>Potential for data to be corrupted or breached.</w:t>
            </w:r>
          </w:p>
        </w:tc>
        <w:tc>
          <w:tcPr>
            <w:tcW w:w="499" w:type="pct"/>
          </w:tcPr>
          <w:p w14:paraId="487C81AF" w14:textId="77777777" w:rsidR="00515974" w:rsidRPr="00FD296E" w:rsidRDefault="00515974" w:rsidP="00A20B3F">
            <w:pPr>
              <w:keepLines/>
              <w:rPr>
                <w:rFonts w:cs="Arial"/>
                <w:szCs w:val="22"/>
              </w:rPr>
            </w:pPr>
          </w:p>
        </w:tc>
        <w:tc>
          <w:tcPr>
            <w:tcW w:w="499" w:type="pct"/>
          </w:tcPr>
          <w:p w14:paraId="6B87EFA9" w14:textId="77777777" w:rsidR="00515974" w:rsidRPr="00FD296E" w:rsidRDefault="00515974" w:rsidP="00A20B3F">
            <w:pPr>
              <w:pStyle w:val="Tablecolumn"/>
              <w:keepLines/>
              <w:ind w:left="-65"/>
            </w:pPr>
          </w:p>
        </w:tc>
        <w:tc>
          <w:tcPr>
            <w:tcW w:w="1549" w:type="pct"/>
          </w:tcPr>
          <w:p w14:paraId="59022579" w14:textId="77777777" w:rsidR="00515974" w:rsidRDefault="00515974" w:rsidP="00A20B3F">
            <w:pPr>
              <w:pStyle w:val="Tablecolumn"/>
              <w:keepLines/>
              <w:numPr>
                <w:ilvl w:val="0"/>
                <w:numId w:val="26"/>
              </w:numPr>
              <w:ind w:left="173" w:hanging="238"/>
            </w:pPr>
            <w:r w:rsidRPr="00FD296E">
              <w:t xml:space="preserve">Consider </w:t>
            </w:r>
            <w:hyperlink r:id="rId12" w:history="1">
              <w:r w:rsidRPr="00923474">
                <w:rPr>
                  <w:rStyle w:val="Hyperlink"/>
                </w:rPr>
                <w:t>Information Commissioner’s Office</w:t>
              </w:r>
            </w:hyperlink>
            <w:r>
              <w:t xml:space="preserve"> (</w:t>
            </w:r>
            <w:r w:rsidRPr="00FD296E">
              <w:t>ICO</w:t>
            </w:r>
            <w:r>
              <w:t>)</w:t>
            </w:r>
            <w:r w:rsidRPr="00FD296E">
              <w:t xml:space="preserve"> advice and actions for data sharing</w:t>
            </w:r>
            <w:r>
              <w:t>.</w:t>
            </w:r>
          </w:p>
          <w:p w14:paraId="42646F32" w14:textId="77777777" w:rsidR="00515974" w:rsidRDefault="00515974" w:rsidP="00A20B3F">
            <w:pPr>
              <w:pStyle w:val="Tablecolumn"/>
              <w:keepLines/>
              <w:numPr>
                <w:ilvl w:val="0"/>
                <w:numId w:val="26"/>
              </w:numPr>
              <w:ind w:left="173" w:hanging="238"/>
            </w:pPr>
            <w:r>
              <w:t xml:space="preserve">Consider </w:t>
            </w:r>
            <w:hyperlink r:id="rId13" w:history="1">
              <w:r w:rsidRPr="00F04849">
                <w:rPr>
                  <w:rStyle w:val="Hyperlink"/>
                </w:rPr>
                <w:t>Digital Social Care</w:t>
              </w:r>
            </w:hyperlink>
            <w:r>
              <w:t xml:space="preserve"> advice on cyber security and related issues.</w:t>
            </w:r>
          </w:p>
          <w:p w14:paraId="220A9BA5" w14:textId="77777777" w:rsidR="00515974" w:rsidRPr="00CF1F98" w:rsidRDefault="00515974" w:rsidP="00A20B3F">
            <w:pPr>
              <w:pStyle w:val="Tablecolumn"/>
              <w:keepLines/>
              <w:numPr>
                <w:ilvl w:val="0"/>
                <w:numId w:val="26"/>
              </w:numPr>
              <w:ind w:left="173" w:hanging="238"/>
            </w:pPr>
            <w:r w:rsidRPr="00FD296E">
              <w:t>Carry out internal assessment on risks associated with data sharing</w:t>
            </w:r>
            <w:r>
              <w:t>.</w:t>
            </w:r>
          </w:p>
        </w:tc>
        <w:tc>
          <w:tcPr>
            <w:tcW w:w="341" w:type="pct"/>
          </w:tcPr>
          <w:p w14:paraId="0C01D18D" w14:textId="77777777" w:rsidR="00515974" w:rsidRPr="00AF3E74" w:rsidRDefault="00515974" w:rsidP="00A20B3F">
            <w:pPr>
              <w:pStyle w:val="ListBullet"/>
              <w:numPr>
                <w:ilvl w:val="0"/>
                <w:numId w:val="0"/>
              </w:numPr>
              <w:spacing w:before="0" w:after="0"/>
              <w:ind w:left="357"/>
            </w:pPr>
          </w:p>
        </w:tc>
        <w:tc>
          <w:tcPr>
            <w:tcW w:w="511" w:type="pct"/>
          </w:tcPr>
          <w:p w14:paraId="3CD0C213" w14:textId="77777777" w:rsidR="00515974" w:rsidRPr="00AF3E74" w:rsidRDefault="00515974" w:rsidP="00A20B3F">
            <w:pPr>
              <w:rPr>
                <w:rFonts w:cs="Arial"/>
              </w:rPr>
            </w:pPr>
          </w:p>
        </w:tc>
      </w:tr>
      <w:tr w:rsidR="00515974" w:rsidRPr="00AF3E74" w14:paraId="7382069D" w14:textId="77777777" w:rsidTr="00A20B3F">
        <w:trPr>
          <w:trHeight w:val="557"/>
        </w:trPr>
        <w:tc>
          <w:tcPr>
            <w:tcW w:w="629" w:type="pct"/>
            <w:shd w:val="clear" w:color="auto" w:fill="D9E2F3" w:themeFill="accent1" w:themeFillTint="33"/>
          </w:tcPr>
          <w:p w14:paraId="5FAADADE" w14:textId="177BDD5E" w:rsidR="00515974" w:rsidRDefault="00515974" w:rsidP="00A20B3F">
            <w:pPr>
              <w:spacing w:before="120" w:after="120"/>
              <w:rPr>
                <w:rFonts w:cs="Arial"/>
                <w:b/>
                <w:szCs w:val="22"/>
              </w:rPr>
            </w:pPr>
            <w:r>
              <w:rPr>
                <w:rFonts w:cs="Arial"/>
                <w:b/>
                <w:szCs w:val="22"/>
              </w:rPr>
              <w:lastRenderedPageBreak/>
              <w:t>IT failure</w:t>
            </w:r>
          </w:p>
        </w:tc>
        <w:tc>
          <w:tcPr>
            <w:tcW w:w="972" w:type="pct"/>
          </w:tcPr>
          <w:p w14:paraId="389B6D1C" w14:textId="77777777" w:rsidR="00515974" w:rsidRDefault="00515974" w:rsidP="00A20B3F">
            <w:pPr>
              <w:pStyle w:val="Tablecolumn"/>
              <w:keepLines/>
              <w:ind w:left="-65"/>
            </w:pPr>
            <w:r>
              <w:t xml:space="preserve">Potential loss of access to care data </w:t>
            </w:r>
          </w:p>
          <w:p w14:paraId="3DB5ABAE" w14:textId="77777777" w:rsidR="00515974" w:rsidRDefault="00515974" w:rsidP="00A20B3F">
            <w:pPr>
              <w:pStyle w:val="Tablecolumn"/>
              <w:keepLines/>
              <w:ind w:left="-65"/>
            </w:pPr>
            <w:r>
              <w:t>Potential loss of data on staffing, salaries, suppliers etc</w:t>
            </w:r>
          </w:p>
          <w:p w14:paraId="7D880A40" w14:textId="77777777" w:rsidR="00515974" w:rsidRPr="003254C7" w:rsidRDefault="00515974" w:rsidP="00A20B3F">
            <w:pPr>
              <w:pStyle w:val="Tablecolumn"/>
              <w:keepLines/>
              <w:ind w:left="-65"/>
            </w:pPr>
            <w:r>
              <w:t>Potential loss of access to digital assistive care technology</w:t>
            </w:r>
          </w:p>
        </w:tc>
        <w:tc>
          <w:tcPr>
            <w:tcW w:w="499" w:type="pct"/>
          </w:tcPr>
          <w:p w14:paraId="66FE237F" w14:textId="77777777" w:rsidR="00515974" w:rsidRPr="00FD296E" w:rsidRDefault="00515974" w:rsidP="00A20B3F">
            <w:pPr>
              <w:keepLines/>
              <w:rPr>
                <w:rFonts w:cs="Arial"/>
                <w:szCs w:val="22"/>
              </w:rPr>
            </w:pPr>
          </w:p>
        </w:tc>
        <w:tc>
          <w:tcPr>
            <w:tcW w:w="499" w:type="pct"/>
          </w:tcPr>
          <w:p w14:paraId="3EA4AEDB" w14:textId="77777777" w:rsidR="00515974" w:rsidRDefault="00515974" w:rsidP="00A20B3F">
            <w:pPr>
              <w:pStyle w:val="Tablecolumn"/>
              <w:keepLines/>
              <w:ind w:left="-65"/>
              <w:rPr>
                <w:rFonts w:cs="Arial"/>
                <w:color w:val="211D1E"/>
              </w:rPr>
            </w:pPr>
          </w:p>
        </w:tc>
        <w:tc>
          <w:tcPr>
            <w:tcW w:w="1549" w:type="pct"/>
          </w:tcPr>
          <w:p w14:paraId="4ED4DABA" w14:textId="77777777" w:rsidR="00515974" w:rsidRDefault="00515974" w:rsidP="00A20B3F">
            <w:pPr>
              <w:pStyle w:val="Tablecolumn"/>
              <w:keepLines/>
              <w:numPr>
                <w:ilvl w:val="0"/>
                <w:numId w:val="26"/>
              </w:numPr>
              <w:ind w:left="173" w:hanging="238"/>
              <w:rPr>
                <w:rFonts w:cs="Arial"/>
                <w:color w:val="211D1E"/>
              </w:rPr>
            </w:pPr>
            <w:r>
              <w:rPr>
                <w:rFonts w:cs="Arial"/>
                <w:color w:val="211D1E"/>
              </w:rPr>
              <w:t>Establish alternative access to email and shared data systems</w:t>
            </w:r>
          </w:p>
          <w:p w14:paraId="56D8033C" w14:textId="77777777" w:rsidR="00515974" w:rsidRDefault="00515974" w:rsidP="00A20B3F">
            <w:pPr>
              <w:pStyle w:val="Tablecolumn"/>
              <w:keepLines/>
              <w:numPr>
                <w:ilvl w:val="0"/>
                <w:numId w:val="26"/>
              </w:numPr>
              <w:ind w:left="173" w:hanging="238"/>
            </w:pPr>
            <w:r>
              <w:rPr>
                <w:rFonts w:cs="Arial"/>
                <w:color w:val="211D1E"/>
              </w:rPr>
              <w:t>I</w:t>
            </w:r>
            <w:r>
              <w:t>dentify essential information required and systems to access it.</w:t>
            </w:r>
          </w:p>
          <w:p w14:paraId="380103B1" w14:textId="77777777" w:rsidR="00515974" w:rsidRDefault="00515974" w:rsidP="00A20B3F">
            <w:pPr>
              <w:pStyle w:val="Tablecolumn"/>
              <w:keepLines/>
              <w:numPr>
                <w:ilvl w:val="0"/>
                <w:numId w:val="26"/>
              </w:numPr>
              <w:ind w:left="173" w:hanging="238"/>
              <w:rPr>
                <w:rFonts w:cs="Arial"/>
                <w:color w:val="211D1E"/>
              </w:rPr>
            </w:pPr>
            <w:r>
              <w:rPr>
                <w:rFonts w:cs="Arial"/>
                <w:color w:val="211D1E"/>
              </w:rPr>
              <w:t>R</w:t>
            </w:r>
            <w:r w:rsidRPr="001D0A05">
              <w:rPr>
                <w:rFonts w:cs="Arial"/>
                <w:color w:val="211D1E"/>
              </w:rPr>
              <w:t>eview IT security, back-up and recovery arrangements</w:t>
            </w:r>
          </w:p>
          <w:p w14:paraId="19F7708C" w14:textId="77777777" w:rsidR="00515974" w:rsidRPr="0016120D" w:rsidRDefault="00515974" w:rsidP="00A20B3F">
            <w:pPr>
              <w:pStyle w:val="Tablecolumn"/>
              <w:keepLines/>
              <w:numPr>
                <w:ilvl w:val="0"/>
                <w:numId w:val="26"/>
              </w:numPr>
              <w:ind w:left="173" w:hanging="238"/>
              <w:rPr>
                <w:rFonts w:cs="Arial"/>
                <w:color w:val="211D1E"/>
              </w:rPr>
            </w:pPr>
            <w:r>
              <w:t xml:space="preserve">Update records of clients using assistive and digital technology – </w:t>
            </w:r>
            <w:proofErr w:type="spellStart"/>
            <w:r>
              <w:t>inc</w:t>
            </w:r>
            <w:proofErr w:type="spellEnd"/>
            <w:r>
              <w:t xml:space="preserve"> within their own home</w:t>
            </w:r>
          </w:p>
          <w:p w14:paraId="09B25644" w14:textId="77777777" w:rsidR="0062304F" w:rsidRDefault="00515974" w:rsidP="0062304F">
            <w:pPr>
              <w:pStyle w:val="Tablecolumn"/>
              <w:keepLines/>
              <w:numPr>
                <w:ilvl w:val="0"/>
                <w:numId w:val="26"/>
              </w:numPr>
              <w:ind w:left="173" w:hanging="238"/>
            </w:pPr>
            <w:r>
              <w:t>Check IT and assistive technology suppliers have contingency plans in place.</w:t>
            </w:r>
          </w:p>
          <w:p w14:paraId="44A57D21" w14:textId="006DA728" w:rsidR="0062304F" w:rsidRPr="0062304F" w:rsidRDefault="0062304F" w:rsidP="0062304F">
            <w:pPr>
              <w:pStyle w:val="Tablecolumn"/>
              <w:keepLines/>
              <w:numPr>
                <w:ilvl w:val="0"/>
                <w:numId w:val="26"/>
              </w:numPr>
              <w:ind w:left="173" w:hanging="238"/>
            </w:pPr>
            <w:r>
              <w:t xml:space="preserve">Consider </w:t>
            </w:r>
            <w:hyperlink r:id="rId14" w:history="1">
              <w:r w:rsidRPr="00F04849">
                <w:rPr>
                  <w:rStyle w:val="Hyperlink"/>
                </w:rPr>
                <w:t>Digital Social Care</w:t>
              </w:r>
            </w:hyperlink>
            <w:r>
              <w:t xml:space="preserve"> advice</w:t>
            </w:r>
          </w:p>
        </w:tc>
        <w:tc>
          <w:tcPr>
            <w:tcW w:w="341" w:type="pct"/>
          </w:tcPr>
          <w:p w14:paraId="1BBE45C3" w14:textId="77777777" w:rsidR="00515974" w:rsidRPr="00AF3E74" w:rsidRDefault="00515974" w:rsidP="00A20B3F">
            <w:pPr>
              <w:pStyle w:val="ListBullet"/>
              <w:numPr>
                <w:ilvl w:val="0"/>
                <w:numId w:val="0"/>
              </w:numPr>
              <w:spacing w:before="0" w:after="0"/>
              <w:ind w:left="357"/>
            </w:pPr>
          </w:p>
        </w:tc>
        <w:tc>
          <w:tcPr>
            <w:tcW w:w="511" w:type="pct"/>
          </w:tcPr>
          <w:p w14:paraId="6D871D75" w14:textId="77777777" w:rsidR="00515974" w:rsidRPr="00AF3E74" w:rsidRDefault="00515974" w:rsidP="00A20B3F">
            <w:pPr>
              <w:rPr>
                <w:rFonts w:cs="Arial"/>
              </w:rPr>
            </w:pPr>
          </w:p>
        </w:tc>
      </w:tr>
      <w:tr w:rsidR="00515974" w:rsidRPr="00AF3E74" w14:paraId="04849F09" w14:textId="77777777" w:rsidTr="00A20B3F">
        <w:trPr>
          <w:trHeight w:val="557"/>
        </w:trPr>
        <w:tc>
          <w:tcPr>
            <w:tcW w:w="629" w:type="pct"/>
            <w:shd w:val="clear" w:color="auto" w:fill="D9E2F3" w:themeFill="accent1" w:themeFillTint="33"/>
          </w:tcPr>
          <w:p w14:paraId="7BC22652" w14:textId="77777777" w:rsidR="00515974" w:rsidRDefault="00515974" w:rsidP="00A20B3F">
            <w:pPr>
              <w:spacing w:before="120" w:after="120"/>
              <w:rPr>
                <w:rFonts w:cs="Arial"/>
                <w:b/>
                <w:szCs w:val="22"/>
              </w:rPr>
            </w:pPr>
            <w:r>
              <w:rPr>
                <w:rFonts w:cs="Arial"/>
                <w:b/>
                <w:szCs w:val="22"/>
              </w:rPr>
              <w:t>Severe adverse weather</w:t>
            </w:r>
          </w:p>
        </w:tc>
        <w:tc>
          <w:tcPr>
            <w:tcW w:w="972" w:type="pct"/>
          </w:tcPr>
          <w:p w14:paraId="6245063B" w14:textId="77777777" w:rsidR="00515974" w:rsidRDefault="00515974" w:rsidP="00A20B3F">
            <w:pPr>
              <w:pStyle w:val="Tablecolumn"/>
              <w:keepLines/>
            </w:pPr>
            <w:r>
              <w:t>Potential increase in care needs</w:t>
            </w:r>
          </w:p>
          <w:p w14:paraId="0D0CFBC0" w14:textId="77777777" w:rsidR="00515974" w:rsidRPr="0016120D" w:rsidRDefault="00515974" w:rsidP="00A20B3F">
            <w:pPr>
              <w:pStyle w:val="Tablecolumn"/>
              <w:keepLines/>
            </w:pPr>
            <w:r>
              <w:t>Potential travel problems for staff resulting in staff shortages – especially home care staff</w:t>
            </w:r>
          </w:p>
        </w:tc>
        <w:tc>
          <w:tcPr>
            <w:tcW w:w="499" w:type="pct"/>
          </w:tcPr>
          <w:p w14:paraId="4622A0F5" w14:textId="77777777" w:rsidR="00515974" w:rsidRPr="00FD296E" w:rsidRDefault="00515974" w:rsidP="00A20B3F">
            <w:pPr>
              <w:keepLines/>
              <w:rPr>
                <w:rFonts w:cs="Arial"/>
                <w:szCs w:val="22"/>
              </w:rPr>
            </w:pPr>
          </w:p>
        </w:tc>
        <w:tc>
          <w:tcPr>
            <w:tcW w:w="499" w:type="pct"/>
          </w:tcPr>
          <w:p w14:paraId="3985B74A" w14:textId="77777777" w:rsidR="00515974" w:rsidRDefault="00515974" w:rsidP="00A20B3F">
            <w:pPr>
              <w:pStyle w:val="Tablecolumn"/>
              <w:keepLines/>
              <w:ind w:left="-65"/>
            </w:pPr>
          </w:p>
        </w:tc>
        <w:tc>
          <w:tcPr>
            <w:tcW w:w="1549" w:type="pct"/>
          </w:tcPr>
          <w:p w14:paraId="59D55504" w14:textId="77777777" w:rsidR="00515974" w:rsidRDefault="00515974" w:rsidP="00A20B3F">
            <w:pPr>
              <w:pStyle w:val="Tablecolumn"/>
              <w:keepLines/>
              <w:numPr>
                <w:ilvl w:val="0"/>
                <w:numId w:val="26"/>
              </w:numPr>
              <w:ind w:left="173" w:hanging="238"/>
            </w:pPr>
            <w:r>
              <w:t>Identify hard to heat homes – including people’s own homes. reviewed annually</w:t>
            </w:r>
          </w:p>
          <w:p w14:paraId="682B7110" w14:textId="77777777" w:rsidR="00515974" w:rsidRDefault="00515974" w:rsidP="00A20B3F">
            <w:pPr>
              <w:pStyle w:val="Tablecolumn"/>
              <w:keepLines/>
              <w:numPr>
                <w:ilvl w:val="0"/>
                <w:numId w:val="26"/>
              </w:numPr>
              <w:ind w:left="173" w:hanging="238"/>
            </w:pPr>
            <w:r>
              <w:t>Staff understand procedure for reporting concerns</w:t>
            </w:r>
          </w:p>
          <w:p w14:paraId="659D6141" w14:textId="77777777" w:rsidR="00515974" w:rsidRDefault="00515974" w:rsidP="00A20B3F">
            <w:pPr>
              <w:pStyle w:val="Tablecolumn"/>
              <w:keepLines/>
              <w:numPr>
                <w:ilvl w:val="0"/>
                <w:numId w:val="26"/>
              </w:numPr>
              <w:ind w:left="173" w:hanging="238"/>
            </w:pPr>
            <w:r>
              <w:t>Staff understand criteria for prioritising care, especially for home care services</w:t>
            </w:r>
          </w:p>
          <w:p w14:paraId="61A8F0C6" w14:textId="77777777" w:rsidR="00515974" w:rsidRDefault="00515974" w:rsidP="00A20B3F">
            <w:pPr>
              <w:pStyle w:val="Tablecolumn"/>
              <w:keepLines/>
              <w:numPr>
                <w:ilvl w:val="0"/>
                <w:numId w:val="26"/>
              </w:numPr>
              <w:ind w:left="173" w:hanging="238"/>
            </w:pPr>
            <w:r>
              <w:t>Scope for staff to remain onsite – check which individual staff might be able to stay over and capacity within the building for this</w:t>
            </w:r>
          </w:p>
          <w:p w14:paraId="2929C6EE" w14:textId="77777777" w:rsidR="00515974" w:rsidRDefault="00515974" w:rsidP="00A20B3F">
            <w:pPr>
              <w:pStyle w:val="Tablecolumn"/>
              <w:keepLines/>
              <w:numPr>
                <w:ilvl w:val="0"/>
                <w:numId w:val="26"/>
              </w:numPr>
              <w:ind w:left="173" w:hanging="238"/>
            </w:pPr>
            <w:r>
              <w:t>Prioritise staff time</w:t>
            </w:r>
          </w:p>
          <w:p w14:paraId="42C15A9F" w14:textId="77777777" w:rsidR="00515974" w:rsidRPr="000312EF" w:rsidRDefault="00515974" w:rsidP="00A20B3F">
            <w:pPr>
              <w:pStyle w:val="Tablecolumn"/>
              <w:keepLines/>
              <w:numPr>
                <w:ilvl w:val="0"/>
                <w:numId w:val="26"/>
              </w:numPr>
              <w:ind w:left="173" w:hanging="238"/>
            </w:pPr>
            <w:r>
              <w:t>Access community transport schemes, via LRF.</w:t>
            </w:r>
            <w:r w:rsidRPr="000312EF">
              <w:t xml:space="preserve"> </w:t>
            </w:r>
          </w:p>
        </w:tc>
        <w:tc>
          <w:tcPr>
            <w:tcW w:w="341" w:type="pct"/>
          </w:tcPr>
          <w:p w14:paraId="0EBE6E84" w14:textId="77777777" w:rsidR="00515974" w:rsidRPr="00AF3E74" w:rsidRDefault="00515974" w:rsidP="00A20B3F">
            <w:pPr>
              <w:pStyle w:val="ListBullet"/>
              <w:numPr>
                <w:ilvl w:val="0"/>
                <w:numId w:val="0"/>
              </w:numPr>
              <w:spacing w:before="0" w:after="0"/>
              <w:ind w:left="357"/>
            </w:pPr>
          </w:p>
        </w:tc>
        <w:tc>
          <w:tcPr>
            <w:tcW w:w="511" w:type="pct"/>
          </w:tcPr>
          <w:p w14:paraId="3AA26EE2" w14:textId="77777777" w:rsidR="00515974" w:rsidRPr="00AF3E74" w:rsidRDefault="00515974" w:rsidP="00A20B3F">
            <w:pPr>
              <w:rPr>
                <w:rFonts w:cs="Arial"/>
              </w:rPr>
            </w:pPr>
          </w:p>
        </w:tc>
      </w:tr>
      <w:tr w:rsidR="00515974" w:rsidRPr="00AF3E74" w14:paraId="639817B7" w14:textId="77777777" w:rsidTr="00A20B3F">
        <w:trPr>
          <w:trHeight w:val="557"/>
        </w:trPr>
        <w:tc>
          <w:tcPr>
            <w:tcW w:w="629" w:type="pct"/>
            <w:shd w:val="clear" w:color="auto" w:fill="D9E2F3" w:themeFill="accent1" w:themeFillTint="33"/>
          </w:tcPr>
          <w:p w14:paraId="13225161" w14:textId="32CED96B" w:rsidR="00515974" w:rsidRDefault="00515974" w:rsidP="00A20B3F">
            <w:pPr>
              <w:spacing w:before="120" w:after="120"/>
              <w:rPr>
                <w:rFonts w:cs="Arial"/>
                <w:b/>
                <w:szCs w:val="22"/>
              </w:rPr>
            </w:pPr>
            <w:r>
              <w:rPr>
                <w:rFonts w:cs="Arial"/>
                <w:b/>
                <w:szCs w:val="22"/>
              </w:rPr>
              <w:lastRenderedPageBreak/>
              <w:t>Severe heatwave</w:t>
            </w:r>
          </w:p>
        </w:tc>
        <w:tc>
          <w:tcPr>
            <w:tcW w:w="972" w:type="pct"/>
          </w:tcPr>
          <w:p w14:paraId="2698A585" w14:textId="77777777" w:rsidR="00515974" w:rsidRDefault="00515974" w:rsidP="00A20B3F">
            <w:pPr>
              <w:pStyle w:val="Tablecolumn"/>
              <w:keepLines/>
            </w:pPr>
            <w:r>
              <w:t>Potential increase in care needs</w:t>
            </w:r>
          </w:p>
          <w:p w14:paraId="4912AA65" w14:textId="77777777" w:rsidR="00515974" w:rsidRDefault="00515974" w:rsidP="00A20B3F">
            <w:pPr>
              <w:pStyle w:val="Tablecolumn"/>
              <w:keepLines/>
            </w:pPr>
            <w:r>
              <w:t>Potential staff shortages due to health problems</w:t>
            </w:r>
          </w:p>
          <w:p w14:paraId="6C1FBEAE" w14:textId="77777777" w:rsidR="00515974" w:rsidRPr="00016CB1" w:rsidRDefault="00515974" w:rsidP="00A20B3F">
            <w:pPr>
              <w:pStyle w:val="Tablecolumn"/>
              <w:keepLines/>
            </w:pPr>
            <w:r>
              <w:t>Potential impact on IT and other systems</w:t>
            </w:r>
          </w:p>
        </w:tc>
        <w:tc>
          <w:tcPr>
            <w:tcW w:w="499" w:type="pct"/>
          </w:tcPr>
          <w:p w14:paraId="18E2F8D2" w14:textId="77777777" w:rsidR="00515974" w:rsidRPr="00FD296E" w:rsidRDefault="00515974" w:rsidP="00A20B3F">
            <w:pPr>
              <w:keepLines/>
              <w:rPr>
                <w:rFonts w:cs="Arial"/>
                <w:szCs w:val="22"/>
              </w:rPr>
            </w:pPr>
          </w:p>
        </w:tc>
        <w:tc>
          <w:tcPr>
            <w:tcW w:w="499" w:type="pct"/>
          </w:tcPr>
          <w:p w14:paraId="5670616F" w14:textId="77777777" w:rsidR="00515974" w:rsidRPr="00016CB1" w:rsidRDefault="00515974" w:rsidP="00A20B3F">
            <w:pPr>
              <w:pStyle w:val="Tablecolumn"/>
              <w:keepLines/>
              <w:ind w:left="-65"/>
              <w:rPr>
                <w:rFonts w:cs="Arial"/>
              </w:rPr>
            </w:pPr>
          </w:p>
        </w:tc>
        <w:tc>
          <w:tcPr>
            <w:tcW w:w="1549" w:type="pct"/>
          </w:tcPr>
          <w:p w14:paraId="3056D4AA" w14:textId="77777777" w:rsidR="00515974" w:rsidRPr="00016CB1" w:rsidRDefault="00515974" w:rsidP="00A20B3F">
            <w:pPr>
              <w:pStyle w:val="Tablecolumn"/>
              <w:keepLines/>
              <w:numPr>
                <w:ilvl w:val="0"/>
                <w:numId w:val="26"/>
              </w:numPr>
              <w:ind w:left="173" w:hanging="238"/>
            </w:pPr>
            <w:r w:rsidRPr="00016CB1">
              <w:rPr>
                <w:rFonts w:cs="Arial"/>
              </w:rPr>
              <w:t>Train staff to identify illness that could be caused by heat, and how to support themselves and clients</w:t>
            </w:r>
          </w:p>
          <w:p w14:paraId="0E294278" w14:textId="77777777" w:rsidR="00515974" w:rsidRPr="00016CB1" w:rsidRDefault="00515974" w:rsidP="00A20B3F">
            <w:pPr>
              <w:pStyle w:val="Tablecolumn"/>
              <w:keepLines/>
              <w:numPr>
                <w:ilvl w:val="0"/>
                <w:numId w:val="26"/>
              </w:numPr>
              <w:ind w:left="173" w:hanging="238"/>
            </w:pPr>
            <w:r w:rsidRPr="00016CB1">
              <w:rPr>
                <w:rFonts w:cs="Arial"/>
              </w:rPr>
              <w:t xml:space="preserve">Residential services to maintain at least one accessible room below 26 degrees </w:t>
            </w:r>
          </w:p>
          <w:p w14:paraId="5FE7BEB9" w14:textId="77777777" w:rsidR="00515974" w:rsidRDefault="00515974" w:rsidP="00A20B3F">
            <w:pPr>
              <w:pStyle w:val="Tablecolumn"/>
              <w:keepLines/>
              <w:numPr>
                <w:ilvl w:val="0"/>
                <w:numId w:val="26"/>
              </w:numPr>
              <w:ind w:left="173" w:hanging="238"/>
            </w:pPr>
            <w:r>
              <w:t>Process for reporting concerns is clear.</w:t>
            </w:r>
          </w:p>
          <w:p w14:paraId="588CA3D6" w14:textId="77777777" w:rsidR="00515974" w:rsidRDefault="00515974" w:rsidP="00A20B3F">
            <w:pPr>
              <w:pStyle w:val="Tablecolumn"/>
              <w:keepLines/>
              <w:numPr>
                <w:ilvl w:val="0"/>
                <w:numId w:val="26"/>
              </w:numPr>
              <w:ind w:left="173" w:hanging="238"/>
            </w:pPr>
            <w:r>
              <w:t>Residential services to review ability to keep one room cool, adapt as required.</w:t>
            </w:r>
          </w:p>
          <w:p w14:paraId="1CC6238E" w14:textId="6B336F15" w:rsidR="00515974" w:rsidRPr="00016CB1" w:rsidRDefault="00515974" w:rsidP="00A20B3F">
            <w:pPr>
              <w:pStyle w:val="Tablecolumn"/>
              <w:keepLines/>
              <w:numPr>
                <w:ilvl w:val="0"/>
                <w:numId w:val="26"/>
              </w:numPr>
              <w:ind w:left="173" w:hanging="238"/>
            </w:pPr>
            <w:r>
              <w:t>Review training and procedures to cover severe heatwave.</w:t>
            </w:r>
          </w:p>
        </w:tc>
        <w:tc>
          <w:tcPr>
            <w:tcW w:w="341" w:type="pct"/>
          </w:tcPr>
          <w:p w14:paraId="784EB608" w14:textId="77777777" w:rsidR="00515974" w:rsidRPr="00AF3E74" w:rsidRDefault="00515974" w:rsidP="00A20B3F">
            <w:pPr>
              <w:pStyle w:val="ListBullet"/>
              <w:numPr>
                <w:ilvl w:val="0"/>
                <w:numId w:val="0"/>
              </w:numPr>
              <w:spacing w:before="0" w:after="0"/>
              <w:ind w:left="357"/>
            </w:pPr>
          </w:p>
        </w:tc>
        <w:tc>
          <w:tcPr>
            <w:tcW w:w="511" w:type="pct"/>
          </w:tcPr>
          <w:p w14:paraId="7EAA3AA0" w14:textId="77777777" w:rsidR="00515974" w:rsidRPr="00AF3E74" w:rsidRDefault="00515974" w:rsidP="00A20B3F">
            <w:pPr>
              <w:rPr>
                <w:rFonts w:cs="Arial"/>
              </w:rPr>
            </w:pPr>
          </w:p>
        </w:tc>
      </w:tr>
      <w:tr w:rsidR="00C34ADC" w:rsidRPr="00AF3E74" w14:paraId="7FDC8A35" w14:textId="77777777" w:rsidTr="00515974">
        <w:trPr>
          <w:trHeight w:val="557"/>
        </w:trPr>
        <w:tc>
          <w:tcPr>
            <w:tcW w:w="629" w:type="pct"/>
            <w:shd w:val="clear" w:color="auto" w:fill="D9E2F3" w:themeFill="accent1" w:themeFillTint="33"/>
          </w:tcPr>
          <w:p w14:paraId="0134674F" w14:textId="5B788195" w:rsidR="00B76FAC" w:rsidRDefault="00B76FAC" w:rsidP="00F066CA">
            <w:pPr>
              <w:spacing w:before="120" w:after="120"/>
              <w:rPr>
                <w:rFonts w:cs="Arial"/>
                <w:b/>
                <w:szCs w:val="22"/>
              </w:rPr>
            </w:pPr>
            <w:r>
              <w:rPr>
                <w:rFonts w:cs="Arial"/>
                <w:b/>
                <w:szCs w:val="22"/>
              </w:rPr>
              <w:t>Major local incident (</w:t>
            </w:r>
            <w:proofErr w:type="spellStart"/>
            <w:r>
              <w:rPr>
                <w:rFonts w:cs="Arial"/>
                <w:b/>
                <w:szCs w:val="22"/>
              </w:rPr>
              <w:t>eg</w:t>
            </w:r>
            <w:proofErr w:type="spellEnd"/>
            <w:r>
              <w:rPr>
                <w:rFonts w:cs="Arial"/>
                <w:b/>
                <w:szCs w:val="22"/>
              </w:rPr>
              <w:t xml:space="preserve"> terrorist attack, civil disturbance, industrial accident)</w:t>
            </w:r>
          </w:p>
        </w:tc>
        <w:tc>
          <w:tcPr>
            <w:tcW w:w="972" w:type="pct"/>
          </w:tcPr>
          <w:p w14:paraId="526BF998" w14:textId="49083E74" w:rsidR="00B76FAC" w:rsidRDefault="00B76FAC" w:rsidP="00C34ADC">
            <w:pPr>
              <w:pStyle w:val="Tablecolumn"/>
              <w:keepLines/>
            </w:pPr>
            <w:r>
              <w:t xml:space="preserve">Major disruption to service (e.g. staff unable to travel, utilities restricted, need to evacuate) </w:t>
            </w:r>
          </w:p>
        </w:tc>
        <w:tc>
          <w:tcPr>
            <w:tcW w:w="499" w:type="pct"/>
          </w:tcPr>
          <w:p w14:paraId="13532965" w14:textId="77777777" w:rsidR="00B76FAC" w:rsidRPr="00FD296E" w:rsidRDefault="00B76FAC" w:rsidP="00E847F1">
            <w:pPr>
              <w:keepLines/>
              <w:rPr>
                <w:rFonts w:cs="Arial"/>
                <w:szCs w:val="22"/>
              </w:rPr>
            </w:pPr>
          </w:p>
        </w:tc>
        <w:tc>
          <w:tcPr>
            <w:tcW w:w="499" w:type="pct"/>
          </w:tcPr>
          <w:p w14:paraId="605D66C3" w14:textId="77777777" w:rsidR="00B76FAC" w:rsidRDefault="00B76FAC" w:rsidP="00682A9E">
            <w:pPr>
              <w:pStyle w:val="Tablecolumn"/>
              <w:keepLines/>
              <w:ind w:left="-65"/>
            </w:pPr>
          </w:p>
        </w:tc>
        <w:tc>
          <w:tcPr>
            <w:tcW w:w="1549" w:type="pct"/>
          </w:tcPr>
          <w:p w14:paraId="7AB9E164" w14:textId="77777777" w:rsidR="00B76FAC" w:rsidRDefault="00B76FAC" w:rsidP="00CF1F98">
            <w:pPr>
              <w:pStyle w:val="Tablecolumn"/>
              <w:keepLines/>
              <w:numPr>
                <w:ilvl w:val="0"/>
                <w:numId w:val="26"/>
              </w:numPr>
              <w:ind w:left="173" w:hanging="238"/>
            </w:pPr>
            <w:r>
              <w:t>Hold scenario planning training with key staff to ensure clear guidance in place (e.g. ‘mark as safe’ processes, evacuation procedures, roles and responsibilities in an emergency, key emergency contacts, communications plans with staff, clients, public, press etc).</w:t>
            </w:r>
          </w:p>
          <w:p w14:paraId="04FD264B" w14:textId="77777777" w:rsidR="002423CE" w:rsidRDefault="00B76FAC" w:rsidP="002423CE">
            <w:pPr>
              <w:pStyle w:val="Tablecolumn"/>
              <w:keepLines/>
              <w:numPr>
                <w:ilvl w:val="0"/>
                <w:numId w:val="26"/>
              </w:numPr>
              <w:ind w:left="173" w:hanging="238"/>
            </w:pPr>
            <w:r>
              <w:t>Create/update major incident procedures</w:t>
            </w:r>
            <w:r w:rsidR="002423CE">
              <w:t>.</w:t>
            </w:r>
          </w:p>
          <w:p w14:paraId="7867B937" w14:textId="242C58B6" w:rsidR="002423CE" w:rsidRPr="002423CE" w:rsidRDefault="00CE7429" w:rsidP="002423CE">
            <w:pPr>
              <w:pStyle w:val="Tablecolumn"/>
              <w:keepLines/>
              <w:numPr>
                <w:ilvl w:val="0"/>
                <w:numId w:val="26"/>
              </w:numPr>
              <w:ind w:left="173" w:hanging="238"/>
            </w:pPr>
            <w:r>
              <w:t>Liaise with LRF.</w:t>
            </w:r>
          </w:p>
        </w:tc>
        <w:tc>
          <w:tcPr>
            <w:tcW w:w="341" w:type="pct"/>
          </w:tcPr>
          <w:p w14:paraId="3D637F7B" w14:textId="77777777" w:rsidR="00B76FAC" w:rsidRPr="00AF3E74" w:rsidRDefault="00B76FAC" w:rsidP="00910BF5">
            <w:pPr>
              <w:pStyle w:val="ListBullet"/>
              <w:numPr>
                <w:ilvl w:val="0"/>
                <w:numId w:val="0"/>
              </w:numPr>
              <w:spacing w:before="0" w:after="0"/>
              <w:ind w:left="357"/>
            </w:pPr>
          </w:p>
        </w:tc>
        <w:tc>
          <w:tcPr>
            <w:tcW w:w="511" w:type="pct"/>
          </w:tcPr>
          <w:p w14:paraId="2D1E562B" w14:textId="77777777" w:rsidR="00B76FAC" w:rsidRPr="00AF3E74" w:rsidRDefault="00B76FAC" w:rsidP="00910BF5">
            <w:pPr>
              <w:rPr>
                <w:rFonts w:cs="Arial"/>
              </w:rPr>
            </w:pPr>
          </w:p>
        </w:tc>
      </w:tr>
      <w:tr w:rsidR="00C34ADC" w:rsidRPr="00AF3E74" w14:paraId="03ECAD35" w14:textId="77777777" w:rsidTr="00515974">
        <w:trPr>
          <w:trHeight w:val="557"/>
        </w:trPr>
        <w:tc>
          <w:tcPr>
            <w:tcW w:w="629" w:type="pct"/>
            <w:shd w:val="clear" w:color="auto" w:fill="D9E2F3" w:themeFill="accent1" w:themeFillTint="33"/>
          </w:tcPr>
          <w:p w14:paraId="100B729F" w14:textId="1F7E0378" w:rsidR="00B76FAC" w:rsidRDefault="00B76FAC" w:rsidP="00F066CA">
            <w:pPr>
              <w:spacing w:before="120" w:after="120"/>
              <w:rPr>
                <w:rFonts w:cs="Arial"/>
                <w:b/>
                <w:szCs w:val="22"/>
              </w:rPr>
            </w:pPr>
            <w:r>
              <w:rPr>
                <w:rFonts w:cs="Arial"/>
                <w:b/>
                <w:szCs w:val="22"/>
              </w:rPr>
              <w:t>Utility failure</w:t>
            </w:r>
          </w:p>
        </w:tc>
        <w:tc>
          <w:tcPr>
            <w:tcW w:w="972" w:type="pct"/>
          </w:tcPr>
          <w:p w14:paraId="2238E85C" w14:textId="734AC066" w:rsidR="00B76FAC" w:rsidRDefault="00B76FAC" w:rsidP="00C34ADC">
            <w:pPr>
              <w:pStyle w:val="Tablecolumn"/>
              <w:keepLines/>
            </w:pPr>
            <w:r>
              <w:t>Potential significant disruption in residential services – no heating, cooking, cleaning</w:t>
            </w:r>
          </w:p>
        </w:tc>
        <w:tc>
          <w:tcPr>
            <w:tcW w:w="499" w:type="pct"/>
          </w:tcPr>
          <w:p w14:paraId="7C36E227" w14:textId="77777777" w:rsidR="00B76FAC" w:rsidRPr="00FD296E" w:rsidRDefault="00B76FAC" w:rsidP="00E847F1">
            <w:pPr>
              <w:keepLines/>
              <w:rPr>
                <w:rFonts w:cs="Arial"/>
                <w:szCs w:val="22"/>
              </w:rPr>
            </w:pPr>
          </w:p>
        </w:tc>
        <w:tc>
          <w:tcPr>
            <w:tcW w:w="499" w:type="pct"/>
          </w:tcPr>
          <w:p w14:paraId="71623200" w14:textId="77777777" w:rsidR="00B76FAC" w:rsidRPr="001D0A05" w:rsidRDefault="00B76FAC" w:rsidP="00682A9E">
            <w:pPr>
              <w:spacing w:after="120"/>
              <w:ind w:left="-43"/>
              <w:rPr>
                <w:rFonts w:cs="Arial"/>
              </w:rPr>
            </w:pPr>
          </w:p>
        </w:tc>
        <w:tc>
          <w:tcPr>
            <w:tcW w:w="1549" w:type="pct"/>
          </w:tcPr>
          <w:p w14:paraId="5D244AA8" w14:textId="7A3C2B9D" w:rsidR="00B76FAC" w:rsidRPr="001D0A05" w:rsidRDefault="00B76FAC" w:rsidP="008359F4">
            <w:pPr>
              <w:numPr>
                <w:ilvl w:val="0"/>
                <w:numId w:val="26"/>
              </w:numPr>
              <w:spacing w:after="120"/>
              <w:ind w:left="153" w:hanging="153"/>
              <w:rPr>
                <w:rFonts w:cs="Arial"/>
              </w:rPr>
            </w:pPr>
            <w:r w:rsidRPr="001D0A05">
              <w:rPr>
                <w:rFonts w:cs="Arial"/>
              </w:rPr>
              <w:t xml:space="preserve">Care homes should ideally have access to emergency generators, water supplies and alternative means of heating. </w:t>
            </w:r>
          </w:p>
          <w:p w14:paraId="545101E5" w14:textId="2FDCC9BB" w:rsidR="00B76FAC" w:rsidRPr="001D0A05" w:rsidRDefault="00B76FAC" w:rsidP="008359F4">
            <w:pPr>
              <w:numPr>
                <w:ilvl w:val="0"/>
                <w:numId w:val="26"/>
              </w:numPr>
              <w:spacing w:after="120"/>
              <w:ind w:left="153" w:hanging="153"/>
              <w:rPr>
                <w:rFonts w:cs="Arial"/>
              </w:rPr>
            </w:pPr>
            <w:r>
              <w:rPr>
                <w:rFonts w:cs="Arial"/>
              </w:rPr>
              <w:t xml:space="preserve">Keep </w:t>
            </w:r>
            <w:r w:rsidRPr="001D0A05">
              <w:rPr>
                <w:rFonts w:cs="Arial"/>
              </w:rPr>
              <w:t>extra blankets, stocks of bottled water and</w:t>
            </w:r>
            <w:r>
              <w:rPr>
                <w:rFonts w:cs="Arial"/>
              </w:rPr>
              <w:t xml:space="preserve"> </w:t>
            </w:r>
            <w:r w:rsidRPr="001D0A05">
              <w:rPr>
                <w:rFonts w:cs="Arial"/>
              </w:rPr>
              <w:t xml:space="preserve">food that </w:t>
            </w:r>
            <w:r>
              <w:rPr>
                <w:rFonts w:cs="Arial"/>
              </w:rPr>
              <w:t xml:space="preserve">does not </w:t>
            </w:r>
            <w:r w:rsidRPr="001D0A05">
              <w:rPr>
                <w:rFonts w:cs="Arial"/>
              </w:rPr>
              <w:t xml:space="preserve">need cooking. </w:t>
            </w:r>
          </w:p>
          <w:p w14:paraId="608EFAB9" w14:textId="27B7B94F" w:rsidR="00B76FAC" w:rsidRPr="00CF1F98" w:rsidRDefault="00B76FAC" w:rsidP="00CF1F98">
            <w:pPr>
              <w:numPr>
                <w:ilvl w:val="0"/>
                <w:numId w:val="26"/>
              </w:numPr>
              <w:spacing w:after="120"/>
              <w:ind w:left="317"/>
              <w:rPr>
                <w:rFonts w:cs="Arial"/>
              </w:rPr>
            </w:pPr>
            <w:r>
              <w:lastRenderedPageBreak/>
              <w:t>Review training and procedures for staff to ensure they know</w:t>
            </w:r>
            <w:r>
              <w:rPr>
                <w:rFonts w:cs="Arial"/>
              </w:rPr>
              <w:t>:</w:t>
            </w:r>
            <w:r w:rsidRPr="001D0A05">
              <w:rPr>
                <w:rFonts w:cs="Arial"/>
              </w:rPr>
              <w:t xml:space="preserve"> who to call,</w:t>
            </w:r>
            <w:r>
              <w:rPr>
                <w:rFonts w:cs="Arial"/>
              </w:rPr>
              <w:t xml:space="preserve"> how to turn off supplies to </w:t>
            </w:r>
            <w:r w:rsidRPr="001D0A05">
              <w:rPr>
                <w:rFonts w:cs="Arial"/>
              </w:rPr>
              <w:t xml:space="preserve">minimise risk when supplies resume. </w:t>
            </w:r>
          </w:p>
        </w:tc>
        <w:tc>
          <w:tcPr>
            <w:tcW w:w="341" w:type="pct"/>
          </w:tcPr>
          <w:p w14:paraId="66916B14" w14:textId="77777777" w:rsidR="00B76FAC" w:rsidRPr="00AF3E74" w:rsidRDefault="00B76FAC" w:rsidP="00910BF5">
            <w:pPr>
              <w:pStyle w:val="ListBullet"/>
              <w:numPr>
                <w:ilvl w:val="0"/>
                <w:numId w:val="0"/>
              </w:numPr>
              <w:spacing w:before="0" w:after="0"/>
              <w:ind w:left="357"/>
            </w:pPr>
          </w:p>
        </w:tc>
        <w:tc>
          <w:tcPr>
            <w:tcW w:w="511" w:type="pct"/>
          </w:tcPr>
          <w:p w14:paraId="73C5BCE6" w14:textId="77777777" w:rsidR="00B76FAC" w:rsidRPr="00AF3E74" w:rsidRDefault="00B76FAC" w:rsidP="00910BF5">
            <w:pPr>
              <w:rPr>
                <w:rFonts w:cs="Arial"/>
              </w:rPr>
            </w:pPr>
          </w:p>
        </w:tc>
      </w:tr>
      <w:tr w:rsidR="00C34ADC" w:rsidRPr="00AF3E74" w14:paraId="5C73FE86" w14:textId="77777777" w:rsidTr="00515974">
        <w:trPr>
          <w:trHeight w:val="557"/>
        </w:trPr>
        <w:tc>
          <w:tcPr>
            <w:tcW w:w="629" w:type="pct"/>
            <w:shd w:val="clear" w:color="auto" w:fill="D9E2F3" w:themeFill="accent1" w:themeFillTint="33"/>
          </w:tcPr>
          <w:p w14:paraId="38ADCBDA" w14:textId="18D1962C" w:rsidR="00B76FAC" w:rsidRDefault="00B76FAC" w:rsidP="00F066CA">
            <w:pPr>
              <w:spacing w:before="120" w:after="120"/>
              <w:rPr>
                <w:rFonts w:cs="Arial"/>
                <w:b/>
                <w:szCs w:val="22"/>
              </w:rPr>
            </w:pPr>
            <w:r>
              <w:rPr>
                <w:rFonts w:cs="Arial"/>
                <w:b/>
                <w:szCs w:val="22"/>
              </w:rPr>
              <w:t>Building and equipment problems</w:t>
            </w:r>
          </w:p>
        </w:tc>
        <w:tc>
          <w:tcPr>
            <w:tcW w:w="972" w:type="pct"/>
          </w:tcPr>
          <w:p w14:paraId="7E724096" w14:textId="51F58CFE" w:rsidR="00B76FAC" w:rsidRPr="00C34ADC" w:rsidRDefault="00B76FAC" w:rsidP="00C34ADC">
            <w:pPr>
              <w:spacing w:after="120"/>
              <w:rPr>
                <w:rFonts w:cs="Arial"/>
              </w:rPr>
            </w:pPr>
            <w:r w:rsidRPr="00C34ADC">
              <w:rPr>
                <w:rFonts w:cs="Arial"/>
              </w:rPr>
              <w:t xml:space="preserve">Offices, care homes and other buildings-based services at risk </w:t>
            </w:r>
          </w:p>
        </w:tc>
        <w:tc>
          <w:tcPr>
            <w:tcW w:w="499" w:type="pct"/>
          </w:tcPr>
          <w:p w14:paraId="0024A4E5" w14:textId="77777777" w:rsidR="00B76FAC" w:rsidRPr="00FD296E" w:rsidRDefault="00B76FAC" w:rsidP="00E847F1">
            <w:pPr>
              <w:keepLines/>
              <w:rPr>
                <w:rFonts w:cs="Arial"/>
                <w:szCs w:val="22"/>
              </w:rPr>
            </w:pPr>
          </w:p>
        </w:tc>
        <w:tc>
          <w:tcPr>
            <w:tcW w:w="499" w:type="pct"/>
          </w:tcPr>
          <w:p w14:paraId="2BD18CAE" w14:textId="77777777" w:rsidR="00B76FAC" w:rsidRDefault="00B76FAC" w:rsidP="00682A9E">
            <w:pPr>
              <w:pStyle w:val="Tablecolumn"/>
              <w:keepLines/>
              <w:ind w:left="-65"/>
            </w:pPr>
          </w:p>
        </w:tc>
        <w:tc>
          <w:tcPr>
            <w:tcW w:w="1549" w:type="pct"/>
          </w:tcPr>
          <w:p w14:paraId="2237BE4B" w14:textId="1593D19A" w:rsidR="00B76FAC" w:rsidRDefault="00B76FAC" w:rsidP="00935153">
            <w:pPr>
              <w:pStyle w:val="Tablecolumn"/>
              <w:keepLines/>
              <w:numPr>
                <w:ilvl w:val="0"/>
                <w:numId w:val="26"/>
              </w:numPr>
              <w:ind w:left="173" w:hanging="238"/>
            </w:pPr>
            <w:r>
              <w:t xml:space="preserve">Review and/or update maintenance contracts to ensure maintenance checks are carried out routinely </w:t>
            </w:r>
          </w:p>
          <w:p w14:paraId="39FDEA3C" w14:textId="64324760" w:rsidR="00B76FAC" w:rsidRDefault="00B76FAC" w:rsidP="001B2FE6">
            <w:pPr>
              <w:pStyle w:val="Tablecolumn"/>
              <w:keepLines/>
              <w:numPr>
                <w:ilvl w:val="0"/>
                <w:numId w:val="26"/>
              </w:numPr>
              <w:ind w:left="173" w:hanging="238"/>
              <w:rPr>
                <w:rFonts w:cs="Arial"/>
              </w:rPr>
            </w:pPr>
            <w:r>
              <w:t xml:space="preserve">Review, update or develop, and then share back up plans if </w:t>
            </w:r>
            <w:r w:rsidRPr="00935153">
              <w:rPr>
                <w:rFonts w:cs="Arial"/>
              </w:rPr>
              <w:t xml:space="preserve">key equipment fails </w:t>
            </w:r>
            <w:r>
              <w:rPr>
                <w:rFonts w:cs="Arial"/>
              </w:rPr>
              <w:t>(e.g.</w:t>
            </w:r>
            <w:r w:rsidRPr="00935153">
              <w:rPr>
                <w:rFonts w:cs="Arial"/>
              </w:rPr>
              <w:t xml:space="preserve"> lifts, laund</w:t>
            </w:r>
            <w:r w:rsidRPr="001B2FE6">
              <w:rPr>
                <w:rFonts w:cs="Arial"/>
              </w:rPr>
              <w:t xml:space="preserve">ry or catering equipment) </w:t>
            </w:r>
          </w:p>
          <w:p w14:paraId="18D695F9" w14:textId="4D75C470" w:rsidR="00B76FAC" w:rsidRPr="001B2FE6" w:rsidRDefault="00B76FAC" w:rsidP="001B2FE6">
            <w:pPr>
              <w:pStyle w:val="Tablecolumn"/>
              <w:keepLines/>
              <w:numPr>
                <w:ilvl w:val="0"/>
                <w:numId w:val="26"/>
              </w:numPr>
              <w:ind w:left="173" w:hanging="238"/>
              <w:rPr>
                <w:rFonts w:cs="Arial"/>
              </w:rPr>
            </w:pPr>
            <w:r>
              <w:t xml:space="preserve">Maintain up-to-date records of suppliers and maintenance numbers, </w:t>
            </w:r>
            <w:proofErr w:type="spellStart"/>
            <w:r>
              <w:t>inc</w:t>
            </w:r>
            <w:proofErr w:type="spellEnd"/>
            <w:r>
              <w:t xml:space="preserve"> out of hours</w:t>
            </w:r>
          </w:p>
        </w:tc>
        <w:tc>
          <w:tcPr>
            <w:tcW w:w="341" w:type="pct"/>
          </w:tcPr>
          <w:p w14:paraId="01B6D471" w14:textId="77777777" w:rsidR="00B76FAC" w:rsidRPr="00AF3E74" w:rsidRDefault="00B76FAC" w:rsidP="00910BF5">
            <w:pPr>
              <w:pStyle w:val="ListBullet"/>
              <w:numPr>
                <w:ilvl w:val="0"/>
                <w:numId w:val="0"/>
              </w:numPr>
              <w:spacing w:before="0" w:after="0"/>
              <w:ind w:left="357"/>
            </w:pPr>
          </w:p>
        </w:tc>
        <w:tc>
          <w:tcPr>
            <w:tcW w:w="511" w:type="pct"/>
          </w:tcPr>
          <w:p w14:paraId="5E00B6DC" w14:textId="77777777" w:rsidR="00B76FAC" w:rsidRPr="00AF3E74" w:rsidRDefault="00B76FAC" w:rsidP="00910BF5">
            <w:pPr>
              <w:rPr>
                <w:rFonts w:cs="Arial"/>
              </w:rPr>
            </w:pPr>
          </w:p>
        </w:tc>
      </w:tr>
      <w:tr w:rsidR="00C34ADC" w:rsidRPr="00AF3E74" w14:paraId="6A1E3C45" w14:textId="77777777" w:rsidTr="00515974">
        <w:trPr>
          <w:trHeight w:val="557"/>
        </w:trPr>
        <w:tc>
          <w:tcPr>
            <w:tcW w:w="629" w:type="pct"/>
            <w:shd w:val="clear" w:color="auto" w:fill="D9E2F3" w:themeFill="accent1" w:themeFillTint="33"/>
          </w:tcPr>
          <w:p w14:paraId="66F86FE9" w14:textId="1EB1A038" w:rsidR="00B76FAC" w:rsidRDefault="00807E6C" w:rsidP="00F066CA">
            <w:pPr>
              <w:spacing w:before="120" w:after="120"/>
              <w:rPr>
                <w:rFonts w:cs="Arial"/>
                <w:b/>
                <w:szCs w:val="22"/>
              </w:rPr>
            </w:pPr>
            <w:r>
              <w:rPr>
                <w:rFonts w:cs="Arial"/>
                <w:b/>
                <w:szCs w:val="22"/>
              </w:rPr>
              <w:t>F</w:t>
            </w:r>
            <w:r w:rsidR="00B76FAC">
              <w:rPr>
                <w:rFonts w:cs="Arial"/>
                <w:b/>
                <w:szCs w:val="22"/>
              </w:rPr>
              <w:t>uel shortage</w:t>
            </w:r>
          </w:p>
        </w:tc>
        <w:tc>
          <w:tcPr>
            <w:tcW w:w="972" w:type="pct"/>
          </w:tcPr>
          <w:p w14:paraId="3AB042C5" w14:textId="77777777" w:rsidR="00B76FAC" w:rsidRDefault="00B76FAC" w:rsidP="00C34ADC">
            <w:pPr>
              <w:pStyle w:val="Tablecolumn"/>
              <w:keepLines/>
            </w:pPr>
            <w:r>
              <w:t>Potential staff shortages due to restricted travel</w:t>
            </w:r>
          </w:p>
          <w:p w14:paraId="63EA3CB9" w14:textId="04C00A4C" w:rsidR="00B76FAC" w:rsidRPr="001022A1" w:rsidRDefault="00B76FAC" w:rsidP="00C34ADC">
            <w:pPr>
              <w:pStyle w:val="Tablecolumn"/>
              <w:keepLines/>
            </w:pPr>
            <w:r>
              <w:t>Potential disruption of heating or cooking facilities</w:t>
            </w:r>
          </w:p>
        </w:tc>
        <w:tc>
          <w:tcPr>
            <w:tcW w:w="499" w:type="pct"/>
          </w:tcPr>
          <w:p w14:paraId="2C287873" w14:textId="77777777" w:rsidR="00B76FAC" w:rsidRPr="00FD296E" w:rsidRDefault="00B76FAC" w:rsidP="00E847F1">
            <w:pPr>
              <w:keepLines/>
              <w:rPr>
                <w:rFonts w:cs="Arial"/>
                <w:szCs w:val="22"/>
              </w:rPr>
            </w:pPr>
          </w:p>
        </w:tc>
        <w:tc>
          <w:tcPr>
            <w:tcW w:w="499" w:type="pct"/>
          </w:tcPr>
          <w:p w14:paraId="4BE29052" w14:textId="77777777" w:rsidR="00B76FAC" w:rsidRDefault="00B76FAC" w:rsidP="00682A9E">
            <w:pPr>
              <w:pStyle w:val="Tablecolumn"/>
              <w:keepLines/>
              <w:ind w:left="-65"/>
              <w:rPr>
                <w:rFonts w:cs="Arial"/>
              </w:rPr>
            </w:pPr>
          </w:p>
        </w:tc>
        <w:tc>
          <w:tcPr>
            <w:tcW w:w="1549" w:type="pct"/>
          </w:tcPr>
          <w:p w14:paraId="6744F304" w14:textId="77777777" w:rsidR="00B76FAC" w:rsidRDefault="00B76FAC" w:rsidP="00CF1F98">
            <w:pPr>
              <w:pStyle w:val="Tablecolumn"/>
              <w:keepLines/>
              <w:numPr>
                <w:ilvl w:val="0"/>
                <w:numId w:val="26"/>
              </w:numPr>
              <w:ind w:left="173" w:hanging="238"/>
            </w:pPr>
            <w:r>
              <w:t>Review, update and share fuel shortage procedure</w:t>
            </w:r>
          </w:p>
          <w:p w14:paraId="7CBDCA83" w14:textId="210EB280" w:rsidR="00B76FAC" w:rsidRPr="005E5512" w:rsidRDefault="00B76FAC" w:rsidP="005E5512">
            <w:pPr>
              <w:pStyle w:val="Tablecolumn"/>
              <w:keepLines/>
              <w:numPr>
                <w:ilvl w:val="0"/>
                <w:numId w:val="26"/>
              </w:numPr>
              <w:ind w:left="173" w:hanging="238"/>
            </w:pPr>
            <w:r>
              <w:rPr>
                <w:rFonts w:cs="Arial"/>
              </w:rPr>
              <w:t>Amend</w:t>
            </w:r>
            <w:r w:rsidRPr="001D0A05">
              <w:rPr>
                <w:rFonts w:cs="Arial"/>
              </w:rPr>
              <w:t xml:space="preserve"> shift times to allow more use of public transport</w:t>
            </w:r>
          </w:p>
          <w:p w14:paraId="40C76259" w14:textId="77777777" w:rsidR="00B76FAC" w:rsidRPr="005E5512" w:rsidRDefault="00B76FAC" w:rsidP="005E5512">
            <w:pPr>
              <w:pStyle w:val="Tablecolumn"/>
              <w:keepLines/>
              <w:numPr>
                <w:ilvl w:val="0"/>
                <w:numId w:val="26"/>
              </w:numPr>
              <w:ind w:left="173" w:hanging="238"/>
            </w:pPr>
            <w:r>
              <w:rPr>
                <w:rFonts w:cs="Arial"/>
              </w:rPr>
              <w:t>D</w:t>
            </w:r>
            <w:r w:rsidRPr="001D0A05">
              <w:rPr>
                <w:rFonts w:cs="Arial"/>
              </w:rPr>
              <w:t>eploy staff to more local services</w:t>
            </w:r>
          </w:p>
          <w:p w14:paraId="49A4F077" w14:textId="5D28CE77" w:rsidR="00B76FAC" w:rsidRPr="005E5512" w:rsidRDefault="00B76FAC" w:rsidP="005E5512">
            <w:pPr>
              <w:pStyle w:val="Tablecolumn"/>
              <w:keepLines/>
              <w:numPr>
                <w:ilvl w:val="0"/>
                <w:numId w:val="26"/>
              </w:numPr>
              <w:ind w:left="173" w:hanging="238"/>
            </w:pPr>
            <w:r>
              <w:rPr>
                <w:rFonts w:cs="Arial"/>
              </w:rPr>
              <w:t>Encourag</w:t>
            </w:r>
            <w:r w:rsidR="00F45D83">
              <w:rPr>
                <w:rFonts w:cs="Arial"/>
              </w:rPr>
              <w:t>e</w:t>
            </w:r>
            <w:r>
              <w:rPr>
                <w:rFonts w:cs="Arial"/>
              </w:rPr>
              <w:t xml:space="preserve"> car sharing and responsible use of fuel</w:t>
            </w:r>
          </w:p>
          <w:p w14:paraId="79C70163" w14:textId="77777777" w:rsidR="00B76FAC" w:rsidRDefault="00B76FAC" w:rsidP="00CF1F98">
            <w:pPr>
              <w:pStyle w:val="Tablecolumn"/>
              <w:keepLines/>
              <w:numPr>
                <w:ilvl w:val="0"/>
                <w:numId w:val="26"/>
              </w:numPr>
              <w:ind w:left="173" w:hanging="238"/>
              <w:rPr>
                <w:rFonts w:cs="Arial"/>
              </w:rPr>
            </w:pPr>
            <w:r>
              <w:rPr>
                <w:rFonts w:cs="Arial"/>
              </w:rPr>
              <w:t>Arrange</w:t>
            </w:r>
            <w:r w:rsidRPr="001D0A05">
              <w:rPr>
                <w:rFonts w:cs="Arial"/>
              </w:rPr>
              <w:t xml:space="preserve"> overnight accommodation</w:t>
            </w:r>
            <w:r>
              <w:rPr>
                <w:rFonts w:cs="Arial"/>
              </w:rPr>
              <w:t xml:space="preserve"> and</w:t>
            </w:r>
            <w:r w:rsidRPr="001D0A05">
              <w:rPr>
                <w:rFonts w:cs="Arial"/>
              </w:rPr>
              <w:t xml:space="preserve"> postpon</w:t>
            </w:r>
            <w:r>
              <w:rPr>
                <w:rFonts w:cs="Arial"/>
              </w:rPr>
              <w:t>e training</w:t>
            </w:r>
            <w:r w:rsidRPr="001D0A05">
              <w:rPr>
                <w:rFonts w:cs="Arial"/>
              </w:rPr>
              <w:t>.</w:t>
            </w:r>
          </w:p>
          <w:p w14:paraId="27A19531" w14:textId="643C5648" w:rsidR="00B76FAC" w:rsidRPr="00CF1F98" w:rsidRDefault="00B76FAC" w:rsidP="00CF1F98">
            <w:pPr>
              <w:pStyle w:val="Tablecolumn"/>
              <w:keepLines/>
              <w:numPr>
                <w:ilvl w:val="0"/>
                <w:numId w:val="26"/>
              </w:numPr>
              <w:ind w:left="173" w:hanging="238"/>
              <w:rPr>
                <w:rFonts w:cs="Arial"/>
              </w:rPr>
            </w:pPr>
            <w:r>
              <w:t xml:space="preserve">Read </w:t>
            </w:r>
            <w:hyperlink r:id="rId15" w:history="1">
              <w:r w:rsidRPr="00CF1F98">
                <w:rPr>
                  <w:rStyle w:val="Hyperlink"/>
                  <w:rFonts w:cs="Arial"/>
                  <w:shd w:val="clear" w:color="auto" w:fill="FFFFFF"/>
                </w:rPr>
                <w:t xml:space="preserve">Government guidance on </w:t>
              </w:r>
              <w:r w:rsidRPr="00CF1F98">
                <w:rPr>
                  <w:rStyle w:val="Hyperlink"/>
                  <w:rFonts w:cs="Arial"/>
                </w:rPr>
                <w:t>business continuity management for fuel shortages</w:t>
              </w:r>
            </w:hyperlink>
            <w:r w:rsidRPr="00CF1F98">
              <w:rPr>
                <w:rFonts w:cs="Arial"/>
              </w:rPr>
              <w:t>.</w:t>
            </w:r>
          </w:p>
        </w:tc>
        <w:tc>
          <w:tcPr>
            <w:tcW w:w="341" w:type="pct"/>
          </w:tcPr>
          <w:p w14:paraId="022AAB94" w14:textId="77777777" w:rsidR="00B76FAC" w:rsidRPr="00AF3E74" w:rsidRDefault="00B76FAC" w:rsidP="00910BF5">
            <w:pPr>
              <w:pStyle w:val="ListBullet"/>
              <w:numPr>
                <w:ilvl w:val="0"/>
                <w:numId w:val="0"/>
              </w:numPr>
              <w:spacing w:before="0" w:after="0"/>
              <w:ind w:left="357"/>
            </w:pPr>
          </w:p>
        </w:tc>
        <w:tc>
          <w:tcPr>
            <w:tcW w:w="511" w:type="pct"/>
          </w:tcPr>
          <w:p w14:paraId="3A04EDA9" w14:textId="77777777" w:rsidR="00B76FAC" w:rsidRPr="00AF3E74" w:rsidRDefault="00B76FAC" w:rsidP="00910BF5">
            <w:pPr>
              <w:rPr>
                <w:rFonts w:cs="Arial"/>
              </w:rPr>
            </w:pPr>
          </w:p>
        </w:tc>
      </w:tr>
      <w:tr w:rsidR="00807E6C" w:rsidRPr="00AF3E74" w14:paraId="389BAE4A" w14:textId="77777777" w:rsidTr="00A20B3F">
        <w:tc>
          <w:tcPr>
            <w:tcW w:w="629" w:type="pct"/>
            <w:shd w:val="clear" w:color="auto" w:fill="D9E2F3" w:themeFill="accent1" w:themeFillTint="33"/>
          </w:tcPr>
          <w:p w14:paraId="353A14EE" w14:textId="77777777" w:rsidR="00807E6C" w:rsidRPr="00FD296E" w:rsidRDefault="00807E6C" w:rsidP="00A20B3F">
            <w:pPr>
              <w:spacing w:before="120" w:after="120"/>
              <w:rPr>
                <w:rFonts w:cs="Arial"/>
                <w:b/>
                <w:szCs w:val="22"/>
              </w:rPr>
            </w:pPr>
            <w:r w:rsidRPr="00FD296E">
              <w:rPr>
                <w:rFonts w:cs="Arial"/>
                <w:b/>
                <w:szCs w:val="22"/>
              </w:rPr>
              <w:lastRenderedPageBreak/>
              <w:t>Supply of medicines</w:t>
            </w:r>
          </w:p>
          <w:p w14:paraId="1041C48F" w14:textId="77777777" w:rsidR="00807E6C" w:rsidRPr="00FD296E" w:rsidRDefault="00807E6C" w:rsidP="00A20B3F">
            <w:pPr>
              <w:spacing w:before="120" w:after="120"/>
              <w:rPr>
                <w:rFonts w:cs="Arial"/>
                <w:szCs w:val="22"/>
              </w:rPr>
            </w:pPr>
          </w:p>
        </w:tc>
        <w:tc>
          <w:tcPr>
            <w:tcW w:w="972" w:type="pct"/>
          </w:tcPr>
          <w:p w14:paraId="461E4A1C" w14:textId="77777777" w:rsidR="00807E6C" w:rsidRPr="0082478F" w:rsidRDefault="00807E6C" w:rsidP="00A20B3F">
            <w:pPr>
              <w:pStyle w:val="Tablecolumn"/>
              <w:keepLines/>
              <w:ind w:left="-65"/>
            </w:pPr>
            <w:r w:rsidRPr="0082478F">
              <w:t xml:space="preserve">Potential for </w:t>
            </w:r>
            <w:r>
              <w:t>a shortage of specific medicines</w:t>
            </w:r>
            <w:r w:rsidRPr="0082478F">
              <w:t>.</w:t>
            </w:r>
          </w:p>
        </w:tc>
        <w:tc>
          <w:tcPr>
            <w:tcW w:w="499" w:type="pct"/>
          </w:tcPr>
          <w:p w14:paraId="130DFBCD" w14:textId="77777777" w:rsidR="00807E6C" w:rsidRPr="00FD296E" w:rsidRDefault="00807E6C" w:rsidP="00A20B3F">
            <w:pPr>
              <w:keepLines/>
              <w:spacing w:before="120" w:after="120"/>
              <w:rPr>
                <w:rFonts w:cs="Arial"/>
                <w:szCs w:val="22"/>
              </w:rPr>
            </w:pPr>
          </w:p>
        </w:tc>
        <w:tc>
          <w:tcPr>
            <w:tcW w:w="499" w:type="pct"/>
          </w:tcPr>
          <w:p w14:paraId="1A81A2F8" w14:textId="77777777" w:rsidR="00807E6C" w:rsidRPr="00CB5968" w:rsidRDefault="00807E6C" w:rsidP="00A20B3F">
            <w:pPr>
              <w:pStyle w:val="Tablecolumn"/>
              <w:keepLines/>
              <w:ind w:left="-65"/>
            </w:pPr>
          </w:p>
        </w:tc>
        <w:tc>
          <w:tcPr>
            <w:tcW w:w="1549" w:type="pct"/>
          </w:tcPr>
          <w:p w14:paraId="7A55C01C" w14:textId="77777777" w:rsidR="00807E6C" w:rsidRDefault="00807E6C" w:rsidP="00A20B3F">
            <w:pPr>
              <w:pStyle w:val="Tablecolumn"/>
              <w:keepLines/>
              <w:numPr>
                <w:ilvl w:val="0"/>
                <w:numId w:val="26"/>
              </w:numPr>
              <w:ind w:left="173" w:hanging="238"/>
            </w:pPr>
            <w:r w:rsidRPr="00FD296E">
              <w:t>Avoid stockpiling</w:t>
            </w:r>
          </w:p>
          <w:p w14:paraId="46B7DEF8" w14:textId="77777777" w:rsidR="00807E6C" w:rsidRPr="001C1A91" w:rsidRDefault="00807E6C" w:rsidP="00A20B3F">
            <w:pPr>
              <w:pStyle w:val="Tablecolumn"/>
              <w:keepLines/>
              <w:numPr>
                <w:ilvl w:val="0"/>
                <w:numId w:val="26"/>
              </w:numPr>
              <w:ind w:left="173" w:hanging="238"/>
            </w:pPr>
            <w:r>
              <w:t>Continue to dispense medicines as usual and do not seek to reduce consumption</w:t>
            </w:r>
          </w:p>
          <w:p w14:paraId="16F1A00C" w14:textId="77777777" w:rsidR="00807E6C" w:rsidRDefault="00807E6C" w:rsidP="00A20B3F">
            <w:pPr>
              <w:pStyle w:val="Tablecolumn"/>
              <w:keepLines/>
              <w:numPr>
                <w:ilvl w:val="0"/>
                <w:numId w:val="26"/>
              </w:numPr>
              <w:ind w:left="173" w:hanging="238"/>
            </w:pPr>
            <w:r>
              <w:t>C</w:t>
            </w:r>
            <w:r w:rsidRPr="00FD296E">
              <w:t>onsider earlier ordering</w:t>
            </w:r>
            <w:r>
              <w:t xml:space="preserve"> for some items.</w:t>
            </w:r>
          </w:p>
          <w:p w14:paraId="4E959891" w14:textId="77777777" w:rsidR="00807E6C" w:rsidRDefault="00807E6C" w:rsidP="00A20B3F">
            <w:pPr>
              <w:pStyle w:val="Tablecolumn"/>
              <w:keepLines/>
              <w:numPr>
                <w:ilvl w:val="0"/>
                <w:numId w:val="26"/>
              </w:numPr>
              <w:ind w:left="173" w:hanging="238"/>
            </w:pPr>
            <w:r>
              <w:t>Ensure you know what your escalation routes are in case of supply disruption, how to contact people, and when to do so.</w:t>
            </w:r>
          </w:p>
          <w:p w14:paraId="5C0AD2F5" w14:textId="7951F6CB" w:rsidR="00807E6C" w:rsidRDefault="00807E6C" w:rsidP="00A20B3F">
            <w:pPr>
              <w:pStyle w:val="Tablecolumn"/>
              <w:keepLines/>
              <w:numPr>
                <w:ilvl w:val="0"/>
                <w:numId w:val="26"/>
              </w:numPr>
              <w:ind w:left="173" w:hanging="238"/>
            </w:pPr>
            <w:r>
              <w:t>If disruption to supplies is local, consider which alternative suppliers might be available in the area</w:t>
            </w:r>
          </w:p>
          <w:p w14:paraId="264BEA81" w14:textId="77777777" w:rsidR="00807E6C" w:rsidRPr="00900AC6" w:rsidRDefault="00807E6C" w:rsidP="00A20B3F">
            <w:pPr>
              <w:pStyle w:val="Tablecolumn"/>
              <w:keepLines/>
              <w:numPr>
                <w:ilvl w:val="0"/>
                <w:numId w:val="26"/>
              </w:numPr>
              <w:ind w:left="173" w:hanging="238"/>
            </w:pPr>
            <w:r w:rsidRPr="00900AC6">
              <w:t xml:space="preserve">Contact your supplier for reassurance </w:t>
            </w:r>
            <w:r>
              <w:t>on how they’re managing availability of the medicine in short supply</w:t>
            </w:r>
            <w:r w:rsidRPr="00900AC6">
              <w:t>.</w:t>
            </w:r>
          </w:p>
          <w:p w14:paraId="4970271C" w14:textId="77777777" w:rsidR="00807E6C" w:rsidRDefault="00807E6C" w:rsidP="00A20B3F">
            <w:pPr>
              <w:pStyle w:val="Tablecolumn"/>
              <w:keepLines/>
              <w:numPr>
                <w:ilvl w:val="0"/>
                <w:numId w:val="26"/>
              </w:numPr>
              <w:ind w:left="173" w:hanging="238"/>
            </w:pPr>
            <w:r w:rsidRPr="00900AC6">
              <w:t>Report any issues to your community pharmacist.</w:t>
            </w:r>
          </w:p>
          <w:p w14:paraId="6E994B9D" w14:textId="77777777" w:rsidR="00807E6C" w:rsidRPr="000312EF" w:rsidRDefault="00807E6C" w:rsidP="00A20B3F">
            <w:pPr>
              <w:pStyle w:val="Tablecolumn"/>
              <w:keepLines/>
              <w:numPr>
                <w:ilvl w:val="0"/>
                <w:numId w:val="26"/>
              </w:numPr>
              <w:ind w:left="173" w:hanging="238"/>
            </w:pPr>
            <w:r w:rsidRPr="00900AC6">
              <w:t>If this does not satisfactorily resolve the issue, contact your local authority.</w:t>
            </w:r>
          </w:p>
        </w:tc>
        <w:tc>
          <w:tcPr>
            <w:tcW w:w="341" w:type="pct"/>
          </w:tcPr>
          <w:p w14:paraId="09F6BC33" w14:textId="77777777" w:rsidR="00807E6C" w:rsidRPr="00AF3E74" w:rsidRDefault="00807E6C" w:rsidP="00A20B3F">
            <w:pPr>
              <w:spacing w:before="120" w:after="120"/>
              <w:rPr>
                <w:rFonts w:cs="Arial"/>
              </w:rPr>
            </w:pPr>
          </w:p>
        </w:tc>
        <w:tc>
          <w:tcPr>
            <w:tcW w:w="511" w:type="pct"/>
          </w:tcPr>
          <w:p w14:paraId="599EB53C" w14:textId="77777777" w:rsidR="00807E6C" w:rsidRPr="00AF3E74" w:rsidRDefault="00807E6C" w:rsidP="00A20B3F">
            <w:pPr>
              <w:spacing w:before="120" w:after="120"/>
              <w:rPr>
                <w:rFonts w:cs="Arial"/>
              </w:rPr>
            </w:pPr>
          </w:p>
        </w:tc>
      </w:tr>
      <w:tr w:rsidR="00807E6C" w:rsidRPr="00AF3E74" w14:paraId="40EED7D9" w14:textId="77777777" w:rsidTr="00A20B3F">
        <w:trPr>
          <w:trHeight w:val="697"/>
        </w:trPr>
        <w:tc>
          <w:tcPr>
            <w:tcW w:w="629" w:type="pct"/>
            <w:shd w:val="clear" w:color="auto" w:fill="D9E2F3" w:themeFill="accent1" w:themeFillTint="33"/>
          </w:tcPr>
          <w:p w14:paraId="093E58BC" w14:textId="77777777" w:rsidR="00807E6C" w:rsidRPr="00FD296E" w:rsidRDefault="00807E6C" w:rsidP="00A20B3F">
            <w:pPr>
              <w:spacing w:before="120" w:after="120"/>
              <w:rPr>
                <w:rFonts w:cs="Arial"/>
                <w:b/>
                <w:szCs w:val="22"/>
              </w:rPr>
            </w:pPr>
            <w:r w:rsidRPr="00FD296E">
              <w:rPr>
                <w:rFonts w:cs="Arial"/>
                <w:b/>
                <w:szCs w:val="22"/>
              </w:rPr>
              <w:t>Supply of non-clinical consumables, goods and services</w:t>
            </w:r>
          </w:p>
          <w:p w14:paraId="37DED779" w14:textId="77777777" w:rsidR="00807E6C" w:rsidRPr="00FD296E" w:rsidRDefault="00807E6C" w:rsidP="00A20B3F">
            <w:pPr>
              <w:rPr>
                <w:rFonts w:cs="Arial"/>
                <w:szCs w:val="22"/>
              </w:rPr>
            </w:pPr>
          </w:p>
        </w:tc>
        <w:tc>
          <w:tcPr>
            <w:tcW w:w="972" w:type="pct"/>
          </w:tcPr>
          <w:p w14:paraId="7AFD191E" w14:textId="77777777" w:rsidR="00807E6C" w:rsidRPr="0082478F" w:rsidRDefault="00807E6C" w:rsidP="00A20B3F">
            <w:pPr>
              <w:pStyle w:val="Tablecolumn"/>
              <w:keepLines/>
              <w:ind w:left="-65"/>
            </w:pPr>
            <w:r w:rsidRPr="0082478F">
              <w:t>Potential for disruption in supply</w:t>
            </w:r>
            <w:r>
              <w:t xml:space="preserve"> of specific products or services</w:t>
            </w:r>
            <w:r w:rsidRPr="0082478F">
              <w:t>.</w:t>
            </w:r>
          </w:p>
          <w:p w14:paraId="5AB97DC5" w14:textId="77777777" w:rsidR="00807E6C" w:rsidRPr="0082478F" w:rsidRDefault="00807E6C" w:rsidP="00A20B3F">
            <w:pPr>
              <w:pStyle w:val="Tablecolumn"/>
              <w:keepLines/>
              <w:ind w:left="-65"/>
            </w:pPr>
          </w:p>
        </w:tc>
        <w:tc>
          <w:tcPr>
            <w:tcW w:w="499" w:type="pct"/>
          </w:tcPr>
          <w:p w14:paraId="191AE1BC" w14:textId="77777777" w:rsidR="00807E6C" w:rsidRPr="00FD296E" w:rsidRDefault="00807E6C" w:rsidP="00A20B3F">
            <w:pPr>
              <w:keepLines/>
              <w:rPr>
                <w:rFonts w:cs="Arial"/>
                <w:szCs w:val="22"/>
              </w:rPr>
            </w:pPr>
          </w:p>
        </w:tc>
        <w:tc>
          <w:tcPr>
            <w:tcW w:w="499" w:type="pct"/>
          </w:tcPr>
          <w:p w14:paraId="3752A3BE" w14:textId="77777777" w:rsidR="00807E6C" w:rsidRPr="00FD296E" w:rsidRDefault="00807E6C" w:rsidP="00A20B3F">
            <w:pPr>
              <w:pStyle w:val="Tablecolumn"/>
              <w:keepLines/>
              <w:ind w:left="-65"/>
            </w:pPr>
          </w:p>
        </w:tc>
        <w:tc>
          <w:tcPr>
            <w:tcW w:w="1549" w:type="pct"/>
          </w:tcPr>
          <w:p w14:paraId="78607D92" w14:textId="77777777" w:rsidR="00807E6C" w:rsidRPr="00FD296E" w:rsidRDefault="00807E6C" w:rsidP="00A20B3F">
            <w:pPr>
              <w:pStyle w:val="Tablecolumn"/>
              <w:keepLines/>
              <w:numPr>
                <w:ilvl w:val="0"/>
                <w:numId w:val="26"/>
              </w:numPr>
              <w:ind w:left="173" w:hanging="238"/>
            </w:pPr>
            <w:r w:rsidRPr="00FD296E">
              <w:t xml:space="preserve">Avoid stockpiling but consider mitigations such as </w:t>
            </w:r>
            <w:r>
              <w:t>seeking alternative products or suppliers.</w:t>
            </w:r>
          </w:p>
          <w:p w14:paraId="28BE4A2B" w14:textId="77777777" w:rsidR="00807E6C" w:rsidRPr="00FD296E" w:rsidRDefault="00807E6C" w:rsidP="00A20B3F">
            <w:pPr>
              <w:pStyle w:val="Tablecolumn"/>
              <w:keepLines/>
              <w:numPr>
                <w:ilvl w:val="0"/>
                <w:numId w:val="26"/>
              </w:numPr>
              <w:ind w:left="173" w:hanging="238"/>
            </w:pPr>
            <w:r w:rsidRPr="00FD296E">
              <w:t>Identify risk areas in relation to essential supplies</w:t>
            </w:r>
            <w:r>
              <w:t>.</w:t>
            </w:r>
          </w:p>
          <w:p w14:paraId="27301E7A" w14:textId="77777777" w:rsidR="00807E6C" w:rsidRDefault="00807E6C" w:rsidP="00A20B3F">
            <w:pPr>
              <w:pStyle w:val="Tablecolumn"/>
              <w:keepLines/>
              <w:numPr>
                <w:ilvl w:val="0"/>
                <w:numId w:val="26"/>
              </w:numPr>
              <w:ind w:left="173" w:hanging="238"/>
            </w:pPr>
            <w:r w:rsidRPr="00FD296E">
              <w:lastRenderedPageBreak/>
              <w:t>Review contracts and engage with suppliers to identify any potential issues</w:t>
            </w:r>
            <w:r>
              <w:t>.</w:t>
            </w:r>
          </w:p>
          <w:p w14:paraId="7C0DF367" w14:textId="77777777" w:rsidR="00807E6C" w:rsidRDefault="00807E6C" w:rsidP="00A20B3F">
            <w:pPr>
              <w:pStyle w:val="Tablecolumn"/>
              <w:keepLines/>
              <w:numPr>
                <w:ilvl w:val="0"/>
                <w:numId w:val="26"/>
              </w:numPr>
              <w:ind w:left="173" w:hanging="238"/>
            </w:pPr>
            <w:r>
              <w:t xml:space="preserve">Ensure you know what your escalation routes are if you are experiencing supply disruption, how to contact people, and when to do so. </w:t>
            </w:r>
          </w:p>
          <w:p w14:paraId="3E3FA264" w14:textId="77777777" w:rsidR="00807E6C" w:rsidRPr="00CF1F98" w:rsidRDefault="00807E6C" w:rsidP="00A20B3F">
            <w:pPr>
              <w:pStyle w:val="Tablecolumn"/>
              <w:keepLines/>
              <w:numPr>
                <w:ilvl w:val="0"/>
                <w:numId w:val="26"/>
              </w:numPr>
              <w:ind w:left="173" w:hanging="238"/>
            </w:pPr>
            <w:r w:rsidRPr="00FD296E">
              <w:t xml:space="preserve">Check with your suppliers to ensure they </w:t>
            </w:r>
            <w:r>
              <w:t>have plans to manage any disruption to supply.</w:t>
            </w:r>
            <w:r w:rsidRPr="00FD296E">
              <w:t xml:space="preserve"> </w:t>
            </w:r>
          </w:p>
        </w:tc>
        <w:tc>
          <w:tcPr>
            <w:tcW w:w="341" w:type="pct"/>
          </w:tcPr>
          <w:p w14:paraId="2A45A66E" w14:textId="77777777" w:rsidR="00807E6C" w:rsidRPr="00AF3E74" w:rsidRDefault="00807E6C" w:rsidP="00A20B3F">
            <w:pPr>
              <w:pStyle w:val="ListBullet"/>
              <w:numPr>
                <w:ilvl w:val="0"/>
                <w:numId w:val="0"/>
              </w:numPr>
              <w:spacing w:before="0" w:after="0"/>
              <w:ind w:left="360"/>
            </w:pPr>
          </w:p>
        </w:tc>
        <w:tc>
          <w:tcPr>
            <w:tcW w:w="511" w:type="pct"/>
          </w:tcPr>
          <w:p w14:paraId="4D0E841B" w14:textId="77777777" w:rsidR="00807E6C" w:rsidRPr="00AF3E74" w:rsidRDefault="00807E6C" w:rsidP="00A20B3F">
            <w:pPr>
              <w:rPr>
                <w:rFonts w:cs="Arial"/>
              </w:rPr>
            </w:pPr>
          </w:p>
        </w:tc>
      </w:tr>
      <w:tr w:rsidR="00807E6C" w:rsidRPr="00AF3E74" w14:paraId="31864A4E" w14:textId="77777777" w:rsidTr="00A20B3F">
        <w:tc>
          <w:tcPr>
            <w:tcW w:w="629" w:type="pct"/>
            <w:shd w:val="clear" w:color="auto" w:fill="D9E2F3" w:themeFill="accent1" w:themeFillTint="33"/>
          </w:tcPr>
          <w:p w14:paraId="34AE440B" w14:textId="77777777" w:rsidR="00807E6C" w:rsidRPr="00F066CA" w:rsidRDefault="00807E6C" w:rsidP="00A20B3F">
            <w:pPr>
              <w:spacing w:before="120" w:after="120"/>
              <w:rPr>
                <w:rFonts w:cs="Arial"/>
                <w:b/>
                <w:szCs w:val="22"/>
              </w:rPr>
            </w:pPr>
            <w:r w:rsidRPr="00FD296E">
              <w:rPr>
                <w:rFonts w:cs="Arial"/>
                <w:b/>
                <w:szCs w:val="22"/>
              </w:rPr>
              <w:t xml:space="preserve">Supply of </w:t>
            </w:r>
            <w:r>
              <w:rPr>
                <w:rFonts w:cs="Arial"/>
                <w:b/>
                <w:szCs w:val="22"/>
              </w:rPr>
              <w:t xml:space="preserve">other </w:t>
            </w:r>
            <w:r w:rsidRPr="00FD296E">
              <w:rPr>
                <w:rFonts w:cs="Arial"/>
                <w:b/>
                <w:szCs w:val="22"/>
              </w:rPr>
              <w:t xml:space="preserve">medical </w:t>
            </w:r>
            <w:r>
              <w:rPr>
                <w:rFonts w:cs="Arial"/>
                <w:b/>
                <w:szCs w:val="22"/>
              </w:rPr>
              <w:t>products</w:t>
            </w:r>
            <w:r w:rsidRPr="00FD296E">
              <w:rPr>
                <w:rFonts w:cs="Arial"/>
                <w:b/>
                <w:szCs w:val="22"/>
              </w:rPr>
              <w:t xml:space="preserve"> and clinical consumables</w:t>
            </w:r>
            <w:r>
              <w:rPr>
                <w:rFonts w:cs="Arial"/>
                <w:b/>
                <w:szCs w:val="22"/>
              </w:rPr>
              <w:t xml:space="preserve"> </w:t>
            </w:r>
            <w:r w:rsidRPr="00AB729F">
              <w:rPr>
                <w:rFonts w:cs="Arial"/>
                <w:szCs w:val="22"/>
              </w:rPr>
              <w:t>(disposable or short</w:t>
            </w:r>
            <w:r>
              <w:rPr>
                <w:rFonts w:cs="Arial"/>
                <w:szCs w:val="22"/>
              </w:rPr>
              <w:t>-</w:t>
            </w:r>
            <w:r w:rsidRPr="00AB729F">
              <w:rPr>
                <w:rFonts w:cs="Arial"/>
                <w:szCs w:val="22"/>
              </w:rPr>
              <w:t>life items such as rubber gloves and syringes)</w:t>
            </w:r>
          </w:p>
          <w:p w14:paraId="1C752C1F" w14:textId="77777777" w:rsidR="00807E6C" w:rsidRPr="00FD296E" w:rsidRDefault="00807E6C" w:rsidP="00A20B3F">
            <w:pPr>
              <w:rPr>
                <w:rFonts w:cs="Arial"/>
                <w:szCs w:val="22"/>
              </w:rPr>
            </w:pPr>
          </w:p>
          <w:p w14:paraId="562A57BC" w14:textId="77777777" w:rsidR="00807E6C" w:rsidRPr="00FD296E" w:rsidRDefault="00807E6C" w:rsidP="00A20B3F">
            <w:pPr>
              <w:rPr>
                <w:rFonts w:cs="Arial"/>
                <w:szCs w:val="22"/>
              </w:rPr>
            </w:pPr>
          </w:p>
        </w:tc>
        <w:tc>
          <w:tcPr>
            <w:tcW w:w="972" w:type="pct"/>
          </w:tcPr>
          <w:p w14:paraId="3174A329" w14:textId="77777777" w:rsidR="00807E6C" w:rsidRPr="00FD296E" w:rsidRDefault="00807E6C" w:rsidP="00A20B3F">
            <w:pPr>
              <w:pStyle w:val="Tablecolumn"/>
              <w:keepLines/>
              <w:ind w:left="-65"/>
              <w:rPr>
                <w:rFonts w:cs="Arial"/>
                <w:szCs w:val="22"/>
              </w:rPr>
            </w:pPr>
            <w:r w:rsidRPr="0082478F">
              <w:t>Potential for disruption in supply</w:t>
            </w:r>
            <w:r>
              <w:t xml:space="preserve"> of specific products</w:t>
            </w:r>
            <w:r w:rsidRPr="0082478F">
              <w:t>.</w:t>
            </w:r>
          </w:p>
        </w:tc>
        <w:tc>
          <w:tcPr>
            <w:tcW w:w="499" w:type="pct"/>
          </w:tcPr>
          <w:p w14:paraId="62A429E5" w14:textId="77777777" w:rsidR="00807E6C" w:rsidRPr="00FD296E" w:rsidRDefault="00807E6C" w:rsidP="00A20B3F">
            <w:pPr>
              <w:keepLines/>
              <w:rPr>
                <w:rFonts w:cs="Arial"/>
                <w:szCs w:val="22"/>
              </w:rPr>
            </w:pPr>
          </w:p>
        </w:tc>
        <w:tc>
          <w:tcPr>
            <w:tcW w:w="499" w:type="pct"/>
          </w:tcPr>
          <w:p w14:paraId="4EE81367" w14:textId="77777777" w:rsidR="00807E6C" w:rsidRPr="00CB5968" w:rsidRDefault="00807E6C" w:rsidP="00A20B3F">
            <w:pPr>
              <w:pStyle w:val="Tablecolumn"/>
              <w:keepLines/>
              <w:ind w:left="-65"/>
            </w:pPr>
          </w:p>
        </w:tc>
        <w:tc>
          <w:tcPr>
            <w:tcW w:w="1549" w:type="pct"/>
          </w:tcPr>
          <w:p w14:paraId="383D2EC2" w14:textId="77777777" w:rsidR="00807E6C" w:rsidRDefault="00807E6C" w:rsidP="00A20B3F">
            <w:pPr>
              <w:pStyle w:val="Tablecolumn"/>
              <w:keepLines/>
              <w:numPr>
                <w:ilvl w:val="0"/>
                <w:numId w:val="26"/>
              </w:numPr>
              <w:ind w:left="173" w:hanging="238"/>
            </w:pPr>
            <w:r w:rsidRPr="00CB5968">
              <w:t>Avoid stockpiling</w:t>
            </w:r>
            <w:r>
              <w:t>.</w:t>
            </w:r>
            <w:r w:rsidRPr="00CB5968">
              <w:t xml:space="preserve"> </w:t>
            </w:r>
          </w:p>
          <w:p w14:paraId="1E37A83D" w14:textId="77777777" w:rsidR="00807E6C" w:rsidRPr="00CB5968" w:rsidRDefault="00807E6C" w:rsidP="00A20B3F">
            <w:pPr>
              <w:pStyle w:val="Tablecolumn"/>
              <w:keepLines/>
              <w:numPr>
                <w:ilvl w:val="0"/>
                <w:numId w:val="26"/>
              </w:numPr>
              <w:ind w:left="173" w:hanging="238"/>
            </w:pPr>
            <w:r>
              <w:t>C</w:t>
            </w:r>
            <w:r w:rsidRPr="00CB5968">
              <w:t xml:space="preserve">onsider mitigations such as </w:t>
            </w:r>
            <w:r>
              <w:t>seeking alternative products or suppliers.</w:t>
            </w:r>
          </w:p>
          <w:p w14:paraId="583DE4E1" w14:textId="77777777" w:rsidR="00807E6C" w:rsidRPr="00CB5968" w:rsidRDefault="00807E6C" w:rsidP="00A20B3F">
            <w:pPr>
              <w:pStyle w:val="Tablecolumn"/>
              <w:keepLines/>
              <w:numPr>
                <w:ilvl w:val="0"/>
                <w:numId w:val="26"/>
              </w:numPr>
              <w:ind w:left="173" w:hanging="238"/>
            </w:pPr>
            <w:r w:rsidRPr="00CB5968">
              <w:t>Monitor stock positions and escalate issues</w:t>
            </w:r>
            <w:r>
              <w:t xml:space="preserve"> as they arise</w:t>
            </w:r>
            <w:r w:rsidRPr="00CB5968">
              <w:t xml:space="preserve"> </w:t>
            </w:r>
          </w:p>
          <w:p w14:paraId="598278D5" w14:textId="77777777" w:rsidR="00807E6C" w:rsidRDefault="00807E6C" w:rsidP="00A20B3F">
            <w:pPr>
              <w:pStyle w:val="Tablecolumn"/>
              <w:keepLines/>
              <w:numPr>
                <w:ilvl w:val="0"/>
                <w:numId w:val="26"/>
              </w:numPr>
              <w:ind w:left="173" w:hanging="238"/>
            </w:pPr>
            <w:r w:rsidRPr="00CB5968">
              <w:t>Ensure you know what your escalation routes are if you are experiencing supply disruption, how to contact people, and when to do so</w:t>
            </w:r>
            <w:r>
              <w:t>.</w:t>
            </w:r>
          </w:p>
          <w:p w14:paraId="7D626F33" w14:textId="77777777" w:rsidR="00807E6C" w:rsidRPr="00FD296E" w:rsidRDefault="00807E6C" w:rsidP="00A20B3F">
            <w:pPr>
              <w:pStyle w:val="Tablecolumn"/>
              <w:keepLines/>
              <w:numPr>
                <w:ilvl w:val="0"/>
                <w:numId w:val="26"/>
              </w:numPr>
              <w:ind w:left="173" w:hanging="238"/>
            </w:pPr>
            <w:r w:rsidRPr="00FD296E">
              <w:t>Check with your supplier.</w:t>
            </w:r>
          </w:p>
          <w:p w14:paraId="4450DFFA" w14:textId="77777777" w:rsidR="00807E6C" w:rsidRPr="00FD296E" w:rsidRDefault="00807E6C" w:rsidP="00A20B3F">
            <w:pPr>
              <w:pStyle w:val="Tablecolumn"/>
              <w:keepLines/>
              <w:numPr>
                <w:ilvl w:val="0"/>
                <w:numId w:val="26"/>
              </w:numPr>
              <w:ind w:left="173" w:hanging="238"/>
            </w:pPr>
            <w:r w:rsidRPr="00FD296E">
              <w:t>Consider if alternative products may be available.</w:t>
            </w:r>
          </w:p>
          <w:p w14:paraId="6DAD5BC0" w14:textId="77777777" w:rsidR="00807E6C" w:rsidRPr="00FD296E" w:rsidRDefault="00807E6C" w:rsidP="00A20B3F">
            <w:pPr>
              <w:pStyle w:val="Tablecolumn"/>
              <w:keepLines/>
              <w:numPr>
                <w:ilvl w:val="0"/>
                <w:numId w:val="26"/>
              </w:numPr>
              <w:ind w:left="173" w:hanging="238"/>
            </w:pPr>
            <w:r w:rsidRPr="00FD296E">
              <w:t>Identify an alternative local supplier</w:t>
            </w:r>
            <w:r>
              <w:t xml:space="preserve"> who might be able to step in</w:t>
            </w:r>
            <w:r w:rsidRPr="00FD296E">
              <w:t xml:space="preserve"> in the event of shortages.</w:t>
            </w:r>
          </w:p>
          <w:p w14:paraId="2EA5BE1A" w14:textId="77777777" w:rsidR="00807E6C" w:rsidRPr="00CF1F98" w:rsidRDefault="00807E6C" w:rsidP="00A20B3F">
            <w:pPr>
              <w:pStyle w:val="Tablecolumn"/>
              <w:keepLines/>
              <w:numPr>
                <w:ilvl w:val="0"/>
                <w:numId w:val="26"/>
              </w:numPr>
              <w:ind w:left="173" w:hanging="238"/>
            </w:pPr>
            <w:r w:rsidRPr="00FD296E">
              <w:lastRenderedPageBreak/>
              <w:t xml:space="preserve">It is essential ASC providers have continuity of supply for </w:t>
            </w:r>
            <w:r>
              <w:t>e</w:t>
            </w:r>
            <w:r w:rsidRPr="00FD296E">
              <w:t>nd of</w:t>
            </w:r>
            <w:r>
              <w:t xml:space="preserve"> l</w:t>
            </w:r>
            <w:r w:rsidRPr="00FD296E">
              <w:t xml:space="preserve">ife </w:t>
            </w:r>
            <w:r>
              <w:t>c</w:t>
            </w:r>
            <w:r w:rsidRPr="00FD296E">
              <w:t>are medicines and supplies – identify an alternative supplier and make contact, as necessary, with your hospital pharmacy or NHS supplies.</w:t>
            </w:r>
          </w:p>
        </w:tc>
        <w:tc>
          <w:tcPr>
            <w:tcW w:w="341" w:type="pct"/>
          </w:tcPr>
          <w:p w14:paraId="277AADE9" w14:textId="77777777" w:rsidR="00807E6C" w:rsidRPr="00AF3E74" w:rsidRDefault="00807E6C" w:rsidP="00A20B3F">
            <w:pPr>
              <w:pStyle w:val="ListBullet"/>
              <w:numPr>
                <w:ilvl w:val="0"/>
                <w:numId w:val="0"/>
              </w:numPr>
              <w:spacing w:before="0" w:after="0"/>
              <w:ind w:left="360"/>
            </w:pPr>
          </w:p>
        </w:tc>
        <w:tc>
          <w:tcPr>
            <w:tcW w:w="511" w:type="pct"/>
          </w:tcPr>
          <w:p w14:paraId="286E7B8B" w14:textId="77777777" w:rsidR="00807E6C" w:rsidRPr="00AF3E74" w:rsidRDefault="00807E6C" w:rsidP="00A20B3F">
            <w:pPr>
              <w:rPr>
                <w:rFonts w:cs="Arial"/>
              </w:rPr>
            </w:pPr>
          </w:p>
        </w:tc>
      </w:tr>
      <w:tr w:rsidR="00807E6C" w:rsidRPr="00AF3E74" w14:paraId="3B7C1F45" w14:textId="77777777" w:rsidTr="00A20B3F">
        <w:tc>
          <w:tcPr>
            <w:tcW w:w="629" w:type="pct"/>
            <w:shd w:val="clear" w:color="auto" w:fill="D9E2F3" w:themeFill="accent1" w:themeFillTint="33"/>
          </w:tcPr>
          <w:p w14:paraId="682B42F0" w14:textId="6EAB4DAA" w:rsidR="00807E6C" w:rsidRPr="00FD296E" w:rsidRDefault="00807E6C" w:rsidP="00A20B3F">
            <w:pPr>
              <w:spacing w:before="120" w:after="120"/>
              <w:rPr>
                <w:rFonts w:cs="Arial"/>
                <w:b/>
                <w:szCs w:val="22"/>
              </w:rPr>
            </w:pPr>
            <w:r>
              <w:rPr>
                <w:rFonts w:cs="Arial"/>
                <w:b/>
                <w:szCs w:val="22"/>
              </w:rPr>
              <w:t xml:space="preserve">Recruitment and retention </w:t>
            </w:r>
          </w:p>
          <w:p w14:paraId="5EB3CFF8" w14:textId="77777777" w:rsidR="00807E6C" w:rsidRPr="00FD296E" w:rsidRDefault="00807E6C" w:rsidP="00A20B3F">
            <w:pPr>
              <w:spacing w:before="240" w:after="240"/>
              <w:rPr>
                <w:rFonts w:cs="Arial"/>
                <w:szCs w:val="22"/>
              </w:rPr>
            </w:pPr>
          </w:p>
        </w:tc>
        <w:tc>
          <w:tcPr>
            <w:tcW w:w="972" w:type="pct"/>
          </w:tcPr>
          <w:p w14:paraId="333E54AE" w14:textId="77777777" w:rsidR="00807E6C" w:rsidRPr="00FD296E" w:rsidRDefault="00807E6C" w:rsidP="00A20B3F">
            <w:pPr>
              <w:pStyle w:val="Tablecolumn"/>
              <w:keepLines/>
              <w:ind w:left="-65"/>
            </w:pPr>
            <w:r w:rsidRPr="00FD296E">
              <w:t>Potential for disruption caused by departure of staff</w:t>
            </w:r>
            <w:r>
              <w:t xml:space="preserve"> and/o</w:t>
            </w:r>
            <w:r w:rsidRPr="00FD296E">
              <w:t>r difficulty in recruitment</w:t>
            </w:r>
            <w:r>
              <w:t xml:space="preserve"> or retention.</w:t>
            </w:r>
          </w:p>
        </w:tc>
        <w:tc>
          <w:tcPr>
            <w:tcW w:w="499" w:type="pct"/>
          </w:tcPr>
          <w:p w14:paraId="79436D27" w14:textId="77777777" w:rsidR="00807E6C" w:rsidRPr="00FD296E" w:rsidRDefault="00807E6C" w:rsidP="00A20B3F">
            <w:pPr>
              <w:pStyle w:val="Tablecolumn"/>
              <w:keepLines/>
              <w:ind w:left="720"/>
            </w:pPr>
          </w:p>
        </w:tc>
        <w:tc>
          <w:tcPr>
            <w:tcW w:w="499" w:type="pct"/>
          </w:tcPr>
          <w:p w14:paraId="2ABF581F" w14:textId="77777777" w:rsidR="00807E6C" w:rsidRPr="00FD296E" w:rsidRDefault="00807E6C" w:rsidP="00A20B3F">
            <w:pPr>
              <w:pStyle w:val="Tablecolumn"/>
              <w:keepLines/>
              <w:ind w:left="173"/>
            </w:pPr>
          </w:p>
        </w:tc>
        <w:tc>
          <w:tcPr>
            <w:tcW w:w="1549" w:type="pct"/>
          </w:tcPr>
          <w:p w14:paraId="09A466EB" w14:textId="77777777" w:rsidR="00807E6C" w:rsidRDefault="00807E6C" w:rsidP="00A20B3F">
            <w:pPr>
              <w:pStyle w:val="Tablecolumn"/>
              <w:keepLines/>
              <w:numPr>
                <w:ilvl w:val="0"/>
                <w:numId w:val="26"/>
              </w:numPr>
              <w:ind w:left="173" w:hanging="238"/>
            </w:pPr>
            <w:r w:rsidRPr="00FD296E">
              <w:t>Identify critical staffing levels, understand individual staffing restrictions and ensure necessary contact details are in one place</w:t>
            </w:r>
            <w:r>
              <w:t>.</w:t>
            </w:r>
          </w:p>
          <w:p w14:paraId="030D0E0E" w14:textId="77777777" w:rsidR="00807E6C" w:rsidRDefault="00807E6C" w:rsidP="00A20B3F">
            <w:pPr>
              <w:pStyle w:val="Tablecolumn"/>
              <w:keepLines/>
              <w:numPr>
                <w:ilvl w:val="0"/>
                <w:numId w:val="26"/>
              </w:numPr>
              <w:ind w:left="173" w:hanging="238"/>
              <w:rPr>
                <w:rFonts w:cs="Arial"/>
                <w:szCs w:val="22"/>
              </w:rPr>
            </w:pPr>
            <w:r w:rsidRPr="00FD296E">
              <w:t xml:space="preserve">Complete Skills for Care Workforce National Minimum </w:t>
            </w:r>
            <w:r w:rsidRPr="006816BF">
              <w:rPr>
                <w:rFonts w:cs="Arial"/>
                <w:szCs w:val="22"/>
              </w:rPr>
              <w:t>Data Set for Social Care.</w:t>
            </w:r>
          </w:p>
          <w:p w14:paraId="26E0E9E8" w14:textId="77777777" w:rsidR="00807E6C" w:rsidRDefault="00807E6C" w:rsidP="00A20B3F">
            <w:pPr>
              <w:pStyle w:val="Tablecolumn"/>
              <w:keepLines/>
              <w:numPr>
                <w:ilvl w:val="0"/>
                <w:numId w:val="26"/>
              </w:numPr>
              <w:ind w:left="173" w:hanging="238"/>
              <w:rPr>
                <w:rFonts w:cs="Arial"/>
                <w:szCs w:val="22"/>
              </w:rPr>
            </w:pPr>
            <w:r w:rsidRPr="006816BF">
              <w:rPr>
                <w:rFonts w:cs="Arial"/>
                <w:szCs w:val="22"/>
              </w:rPr>
              <w:t xml:space="preserve">Consider ongoing recruitment drives (see </w:t>
            </w:r>
            <w:hyperlink r:id="rId16" w:history="1">
              <w:r w:rsidRPr="006816BF">
                <w:rPr>
                  <w:rStyle w:val="Hyperlink"/>
                  <w:rFonts w:cs="Arial"/>
                  <w:szCs w:val="22"/>
                </w:rPr>
                <w:t>DHSC Every day is different campaign</w:t>
              </w:r>
            </w:hyperlink>
            <w:r>
              <w:rPr>
                <w:rFonts w:cs="Arial"/>
                <w:szCs w:val="22"/>
              </w:rPr>
              <w:t xml:space="preserve"> and </w:t>
            </w:r>
            <w:hyperlink r:id="rId17" w:history="1">
              <w:r w:rsidRPr="006816BF">
                <w:rPr>
                  <w:rStyle w:val="Hyperlink"/>
                  <w:rFonts w:cs="Arial"/>
                  <w:szCs w:val="22"/>
                </w:rPr>
                <w:t>Skills for Care – Recruitment and retention resources</w:t>
              </w:r>
            </w:hyperlink>
            <w:r w:rsidRPr="006816BF">
              <w:rPr>
                <w:rFonts w:cs="Arial"/>
                <w:szCs w:val="22"/>
              </w:rPr>
              <w:t>)</w:t>
            </w:r>
          </w:p>
          <w:p w14:paraId="1D7A3351" w14:textId="77777777" w:rsidR="00807E6C" w:rsidRDefault="00807E6C" w:rsidP="00A20B3F">
            <w:pPr>
              <w:pStyle w:val="Tablecolumn"/>
              <w:keepLines/>
              <w:numPr>
                <w:ilvl w:val="0"/>
                <w:numId w:val="26"/>
              </w:numPr>
              <w:ind w:left="173" w:hanging="238"/>
            </w:pPr>
            <w:r>
              <w:t>Monitor trends in recruitment and retention rates.</w:t>
            </w:r>
          </w:p>
          <w:p w14:paraId="740F6039" w14:textId="77777777" w:rsidR="00807E6C" w:rsidRPr="00CF1F98" w:rsidRDefault="00807E6C" w:rsidP="00A20B3F">
            <w:pPr>
              <w:pStyle w:val="Tablecolumn"/>
              <w:keepLines/>
              <w:numPr>
                <w:ilvl w:val="0"/>
                <w:numId w:val="26"/>
              </w:numPr>
              <w:ind w:left="173" w:hanging="238"/>
            </w:pPr>
            <w:r>
              <w:t>Monitor developments that could impact (e.g. minimum wage changes, alternative employers opening in area, changes in right to work policies).</w:t>
            </w:r>
          </w:p>
        </w:tc>
        <w:tc>
          <w:tcPr>
            <w:tcW w:w="341" w:type="pct"/>
          </w:tcPr>
          <w:p w14:paraId="0CEB5496" w14:textId="77777777" w:rsidR="00807E6C" w:rsidRPr="00AF3E74" w:rsidRDefault="00807E6C" w:rsidP="00A20B3F">
            <w:pPr>
              <w:spacing w:before="240" w:after="240"/>
              <w:rPr>
                <w:rFonts w:cs="Arial"/>
              </w:rPr>
            </w:pPr>
          </w:p>
        </w:tc>
        <w:tc>
          <w:tcPr>
            <w:tcW w:w="511" w:type="pct"/>
          </w:tcPr>
          <w:p w14:paraId="3B18A4EE" w14:textId="77777777" w:rsidR="00807E6C" w:rsidRPr="00AF3E74" w:rsidRDefault="00807E6C" w:rsidP="00A20B3F">
            <w:pPr>
              <w:spacing w:before="240" w:after="240"/>
              <w:rPr>
                <w:rFonts w:cs="Arial"/>
              </w:rPr>
            </w:pPr>
          </w:p>
        </w:tc>
      </w:tr>
      <w:tr w:rsidR="00C34ADC" w:rsidRPr="00AF3E74" w14:paraId="0193FE36" w14:textId="77777777" w:rsidTr="00515974">
        <w:trPr>
          <w:trHeight w:val="557"/>
        </w:trPr>
        <w:tc>
          <w:tcPr>
            <w:tcW w:w="629" w:type="pct"/>
            <w:shd w:val="clear" w:color="auto" w:fill="D9E2F3" w:themeFill="accent1" w:themeFillTint="33"/>
          </w:tcPr>
          <w:p w14:paraId="0E04A5DF" w14:textId="4812091D" w:rsidR="00B76FAC" w:rsidRDefault="00B76FAC" w:rsidP="00F066CA">
            <w:pPr>
              <w:spacing w:before="120" w:after="120"/>
              <w:rPr>
                <w:rFonts w:cs="Arial"/>
                <w:b/>
                <w:szCs w:val="22"/>
              </w:rPr>
            </w:pPr>
            <w:r>
              <w:rPr>
                <w:rFonts w:cs="Arial"/>
                <w:b/>
                <w:szCs w:val="22"/>
              </w:rPr>
              <w:t>Financial problems</w:t>
            </w:r>
          </w:p>
        </w:tc>
        <w:tc>
          <w:tcPr>
            <w:tcW w:w="972" w:type="pct"/>
          </w:tcPr>
          <w:p w14:paraId="635C2058" w14:textId="52AC0166" w:rsidR="00B76FAC" w:rsidRDefault="00B76FAC" w:rsidP="00C34ADC">
            <w:pPr>
              <w:pStyle w:val="Tablecolumn"/>
              <w:keepLines/>
            </w:pPr>
            <w:r>
              <w:t>Potential for provider failure and service closure</w:t>
            </w:r>
          </w:p>
        </w:tc>
        <w:tc>
          <w:tcPr>
            <w:tcW w:w="499" w:type="pct"/>
          </w:tcPr>
          <w:p w14:paraId="6051C2FB" w14:textId="77777777" w:rsidR="00B76FAC" w:rsidRPr="00FD296E" w:rsidRDefault="00B76FAC" w:rsidP="00E847F1">
            <w:pPr>
              <w:keepLines/>
              <w:rPr>
                <w:rFonts w:cs="Arial"/>
                <w:szCs w:val="22"/>
              </w:rPr>
            </w:pPr>
          </w:p>
        </w:tc>
        <w:tc>
          <w:tcPr>
            <w:tcW w:w="499" w:type="pct"/>
          </w:tcPr>
          <w:p w14:paraId="798603D1" w14:textId="77777777" w:rsidR="00B76FAC" w:rsidRDefault="00B76FAC" w:rsidP="00682A9E">
            <w:pPr>
              <w:pStyle w:val="Tablecolumn"/>
              <w:keepLines/>
              <w:ind w:left="-65"/>
            </w:pPr>
          </w:p>
        </w:tc>
        <w:tc>
          <w:tcPr>
            <w:tcW w:w="1549" w:type="pct"/>
          </w:tcPr>
          <w:p w14:paraId="2F2970F4" w14:textId="4DC77FFE" w:rsidR="00B76FAC" w:rsidRDefault="00B76FAC" w:rsidP="00405985">
            <w:pPr>
              <w:pStyle w:val="Tablecolumn"/>
              <w:keepLines/>
              <w:numPr>
                <w:ilvl w:val="0"/>
                <w:numId w:val="26"/>
              </w:numPr>
              <w:ind w:left="173" w:hanging="238"/>
            </w:pPr>
            <w:r>
              <w:t>Review finances, including projections, regularly and realistically.</w:t>
            </w:r>
          </w:p>
          <w:p w14:paraId="01B8E144" w14:textId="5BFDB584" w:rsidR="00B76FAC" w:rsidRPr="00405985" w:rsidRDefault="00B76FAC" w:rsidP="00405985">
            <w:pPr>
              <w:pStyle w:val="Tablecolumn"/>
              <w:keepLines/>
              <w:numPr>
                <w:ilvl w:val="0"/>
                <w:numId w:val="26"/>
              </w:numPr>
              <w:ind w:left="173" w:hanging="238"/>
            </w:pPr>
            <w:r>
              <w:t>Raise concerns early with owners/Board and with commissioners and CQC</w:t>
            </w:r>
          </w:p>
          <w:p w14:paraId="3BB2106B" w14:textId="39A03CBF" w:rsidR="00B76FAC" w:rsidRPr="00405985" w:rsidRDefault="00B76FAC" w:rsidP="00405985">
            <w:pPr>
              <w:pStyle w:val="Tablecolumn"/>
              <w:keepLines/>
              <w:numPr>
                <w:ilvl w:val="0"/>
                <w:numId w:val="26"/>
              </w:numPr>
              <w:ind w:left="173" w:hanging="238"/>
            </w:pPr>
            <w:r>
              <w:lastRenderedPageBreak/>
              <w:t>Identify resources and processes for service closure and transfer of clients.</w:t>
            </w:r>
          </w:p>
        </w:tc>
        <w:tc>
          <w:tcPr>
            <w:tcW w:w="341" w:type="pct"/>
          </w:tcPr>
          <w:p w14:paraId="023588C7" w14:textId="77777777" w:rsidR="00B76FAC" w:rsidRPr="00AF3E74" w:rsidRDefault="00B76FAC" w:rsidP="00910BF5">
            <w:pPr>
              <w:pStyle w:val="ListBullet"/>
              <w:numPr>
                <w:ilvl w:val="0"/>
                <w:numId w:val="0"/>
              </w:numPr>
              <w:spacing w:before="0" w:after="0"/>
              <w:ind w:left="357"/>
            </w:pPr>
          </w:p>
        </w:tc>
        <w:tc>
          <w:tcPr>
            <w:tcW w:w="511" w:type="pct"/>
          </w:tcPr>
          <w:p w14:paraId="5ACCE5AD" w14:textId="77777777" w:rsidR="00B76FAC" w:rsidRPr="00AF3E74" w:rsidRDefault="00B76FAC" w:rsidP="00910BF5">
            <w:pPr>
              <w:rPr>
                <w:rFonts w:cs="Arial"/>
              </w:rPr>
            </w:pPr>
          </w:p>
        </w:tc>
      </w:tr>
      <w:tr w:rsidR="00C34ADC" w:rsidRPr="00AF3E74" w14:paraId="530DF665" w14:textId="77777777" w:rsidTr="00515974">
        <w:trPr>
          <w:trHeight w:val="557"/>
        </w:trPr>
        <w:tc>
          <w:tcPr>
            <w:tcW w:w="629" w:type="pct"/>
            <w:shd w:val="clear" w:color="auto" w:fill="D9E2F3" w:themeFill="accent1" w:themeFillTint="33"/>
          </w:tcPr>
          <w:p w14:paraId="03B0A50F" w14:textId="17241D9F" w:rsidR="00B76FAC" w:rsidRDefault="00B76FAC" w:rsidP="00F066CA">
            <w:pPr>
              <w:spacing w:before="120" w:after="120"/>
              <w:rPr>
                <w:rFonts w:cs="Arial"/>
                <w:b/>
                <w:szCs w:val="22"/>
              </w:rPr>
            </w:pPr>
            <w:r>
              <w:rPr>
                <w:rFonts w:cs="Arial"/>
                <w:b/>
                <w:szCs w:val="22"/>
              </w:rPr>
              <w:t>Quality problems</w:t>
            </w:r>
          </w:p>
        </w:tc>
        <w:tc>
          <w:tcPr>
            <w:tcW w:w="972" w:type="pct"/>
          </w:tcPr>
          <w:p w14:paraId="61796BD2" w14:textId="77777777" w:rsidR="00C34ADC" w:rsidRDefault="00B76FAC" w:rsidP="00C34ADC">
            <w:pPr>
              <w:pStyle w:val="Tablecolumn"/>
              <w:keepLines/>
            </w:pPr>
            <w:r>
              <w:t>Potential for service closure by CQC or owner/manager</w:t>
            </w:r>
          </w:p>
          <w:p w14:paraId="2AB8F1A3" w14:textId="2C8ABCCA" w:rsidR="00B76FAC" w:rsidRPr="006E0374" w:rsidRDefault="00B76FAC" w:rsidP="00C34ADC">
            <w:pPr>
              <w:pStyle w:val="Tablecolumn"/>
              <w:keepLines/>
            </w:pPr>
            <w:r>
              <w:t>Potential for reputational damage resulting in loss of staff and income</w:t>
            </w:r>
          </w:p>
        </w:tc>
        <w:tc>
          <w:tcPr>
            <w:tcW w:w="499" w:type="pct"/>
          </w:tcPr>
          <w:p w14:paraId="141AD51B" w14:textId="77777777" w:rsidR="00B76FAC" w:rsidRPr="00FD296E" w:rsidRDefault="00B76FAC" w:rsidP="00E847F1">
            <w:pPr>
              <w:keepLines/>
              <w:rPr>
                <w:rFonts w:cs="Arial"/>
                <w:szCs w:val="22"/>
              </w:rPr>
            </w:pPr>
          </w:p>
        </w:tc>
        <w:tc>
          <w:tcPr>
            <w:tcW w:w="499" w:type="pct"/>
          </w:tcPr>
          <w:p w14:paraId="274AF75A" w14:textId="77777777" w:rsidR="00B76FAC" w:rsidRDefault="00B76FAC" w:rsidP="00682A9E">
            <w:pPr>
              <w:pStyle w:val="Tablecolumn"/>
              <w:keepLines/>
              <w:ind w:left="-65"/>
              <w:rPr>
                <w:rFonts w:cs="Arial"/>
              </w:rPr>
            </w:pPr>
          </w:p>
        </w:tc>
        <w:tc>
          <w:tcPr>
            <w:tcW w:w="1549" w:type="pct"/>
          </w:tcPr>
          <w:p w14:paraId="24C1D8FA" w14:textId="3276DDF4" w:rsidR="00B76FAC" w:rsidRPr="006E0374" w:rsidRDefault="00682A9E" w:rsidP="00217482">
            <w:pPr>
              <w:pStyle w:val="Tablecolumn"/>
              <w:keepLines/>
              <w:numPr>
                <w:ilvl w:val="0"/>
                <w:numId w:val="26"/>
              </w:numPr>
              <w:ind w:left="173" w:hanging="238"/>
            </w:pPr>
            <w:r>
              <w:rPr>
                <w:rFonts w:cs="Arial"/>
              </w:rPr>
              <w:t>Carry out r</w:t>
            </w:r>
            <w:r w:rsidR="00B76FAC">
              <w:rPr>
                <w:rFonts w:cs="Arial"/>
              </w:rPr>
              <w:t xml:space="preserve">egular internal checks </w:t>
            </w:r>
            <w:r>
              <w:rPr>
                <w:rFonts w:cs="Arial"/>
              </w:rPr>
              <w:t xml:space="preserve">to </w:t>
            </w:r>
            <w:r w:rsidR="00B76FAC">
              <w:rPr>
                <w:rFonts w:cs="Arial"/>
              </w:rPr>
              <w:t>identify quality issues early.</w:t>
            </w:r>
          </w:p>
          <w:p w14:paraId="2F26F8DC" w14:textId="78C00F62" w:rsidR="00B76FAC" w:rsidRDefault="00B76FAC" w:rsidP="00CF1F98">
            <w:pPr>
              <w:pStyle w:val="Tablecolumn"/>
              <w:keepLines/>
              <w:numPr>
                <w:ilvl w:val="0"/>
                <w:numId w:val="26"/>
              </w:numPr>
              <w:ind w:left="173" w:hanging="238"/>
            </w:pPr>
            <w:r>
              <w:t>Review internal audit/</w:t>
            </w:r>
            <w:proofErr w:type="spellStart"/>
            <w:r>
              <w:t>healthcheck</w:t>
            </w:r>
            <w:proofErr w:type="spellEnd"/>
            <w:r>
              <w:t xml:space="preserve"> procedures and ensure staff aware of how to report and manage concerns.</w:t>
            </w:r>
          </w:p>
          <w:p w14:paraId="0EAE67AB" w14:textId="62565C29" w:rsidR="00B76FAC" w:rsidRDefault="00B76FAC" w:rsidP="006E0374">
            <w:pPr>
              <w:pStyle w:val="Tablecolumn"/>
              <w:keepLines/>
              <w:numPr>
                <w:ilvl w:val="0"/>
                <w:numId w:val="26"/>
              </w:numPr>
              <w:ind w:left="173" w:hanging="238"/>
            </w:pPr>
            <w:r>
              <w:t>Ensure process for seeking early support is clear (</w:t>
            </w:r>
            <w:proofErr w:type="spellStart"/>
            <w:r>
              <w:t>eg</w:t>
            </w:r>
            <w:proofErr w:type="spellEnd"/>
            <w:r>
              <w:t xml:space="preserve"> from parent group, CQC and/or commissioner, external consultant etc).</w:t>
            </w:r>
          </w:p>
          <w:p w14:paraId="5E9C2703" w14:textId="7A67B9C2" w:rsidR="00B76FAC" w:rsidRDefault="00B76FAC" w:rsidP="00CF1F98">
            <w:pPr>
              <w:pStyle w:val="Tablecolumn"/>
              <w:keepLines/>
              <w:numPr>
                <w:ilvl w:val="0"/>
                <w:numId w:val="26"/>
              </w:numPr>
              <w:ind w:left="173" w:hanging="238"/>
            </w:pPr>
            <w:r>
              <w:t>Review comments and complaints to identify and prevent quality problems from developing.</w:t>
            </w:r>
          </w:p>
          <w:p w14:paraId="07D0B48F" w14:textId="77777777" w:rsidR="00B76FAC" w:rsidRDefault="00B76FAC" w:rsidP="00CF1F98">
            <w:pPr>
              <w:pStyle w:val="Tablecolumn"/>
              <w:keepLines/>
              <w:numPr>
                <w:ilvl w:val="0"/>
                <w:numId w:val="26"/>
              </w:numPr>
              <w:ind w:left="173" w:hanging="238"/>
            </w:pPr>
            <w:r>
              <w:t>Develop open relationship with CQC inspector.</w:t>
            </w:r>
          </w:p>
          <w:p w14:paraId="646E2CF2" w14:textId="4A750F17" w:rsidR="00B76FAC" w:rsidRPr="00CF1F98" w:rsidRDefault="00B76FAC" w:rsidP="00CF1F98">
            <w:pPr>
              <w:pStyle w:val="Tablecolumn"/>
              <w:keepLines/>
              <w:numPr>
                <w:ilvl w:val="0"/>
                <w:numId w:val="26"/>
              </w:numPr>
              <w:ind w:left="173" w:hanging="238"/>
            </w:pPr>
            <w:r>
              <w:t>Develop clear and open process for responding to service user or carers concerns in a managed and sensitive way.</w:t>
            </w:r>
          </w:p>
        </w:tc>
        <w:tc>
          <w:tcPr>
            <w:tcW w:w="341" w:type="pct"/>
          </w:tcPr>
          <w:p w14:paraId="4E14B2B6" w14:textId="77777777" w:rsidR="00B76FAC" w:rsidRPr="00AF3E74" w:rsidRDefault="00B76FAC" w:rsidP="00910BF5">
            <w:pPr>
              <w:pStyle w:val="ListBullet"/>
              <w:numPr>
                <w:ilvl w:val="0"/>
                <w:numId w:val="0"/>
              </w:numPr>
              <w:spacing w:before="0" w:after="0"/>
              <w:ind w:left="357"/>
            </w:pPr>
          </w:p>
        </w:tc>
        <w:tc>
          <w:tcPr>
            <w:tcW w:w="511" w:type="pct"/>
          </w:tcPr>
          <w:p w14:paraId="0B18D772" w14:textId="77777777" w:rsidR="00B76FAC" w:rsidRPr="00AF3E74" w:rsidRDefault="00B76FAC" w:rsidP="00910BF5">
            <w:pPr>
              <w:rPr>
                <w:rFonts w:cs="Arial"/>
              </w:rPr>
            </w:pPr>
          </w:p>
        </w:tc>
      </w:tr>
    </w:tbl>
    <w:p w14:paraId="4BF73A0B" w14:textId="07E68839" w:rsidR="0041224C" w:rsidRDefault="0041224C"/>
    <w:p w14:paraId="3204AAFB" w14:textId="77777777" w:rsidR="0041224C" w:rsidRDefault="0041224C">
      <w:r>
        <w:br w:type="page"/>
      </w:r>
    </w:p>
    <w:tbl>
      <w:tblPr>
        <w:tblStyle w:val="TableGrid"/>
        <w:tblW w:w="14068" w:type="dxa"/>
        <w:tblLayout w:type="fixed"/>
        <w:tblLook w:val="04A0" w:firstRow="1" w:lastRow="0" w:firstColumn="1" w:lastColumn="0" w:noHBand="0" w:noVBand="1"/>
      </w:tblPr>
      <w:tblGrid>
        <w:gridCol w:w="12469"/>
        <w:gridCol w:w="1599"/>
      </w:tblGrid>
      <w:tr w:rsidR="003F43EE" w:rsidRPr="00AF3E74" w14:paraId="7ACF99D5" w14:textId="77777777" w:rsidTr="00FD296E">
        <w:trPr>
          <w:trHeight w:val="497"/>
        </w:trPr>
        <w:tc>
          <w:tcPr>
            <w:tcW w:w="14068" w:type="dxa"/>
            <w:gridSpan w:val="2"/>
            <w:shd w:val="clear" w:color="auto" w:fill="2F5496" w:themeFill="accent1" w:themeFillShade="BF"/>
          </w:tcPr>
          <w:p w14:paraId="1962B53D" w14:textId="4774ED14" w:rsidR="003F43EE" w:rsidRPr="00AF3E74" w:rsidRDefault="003F43EE" w:rsidP="003E41EF">
            <w:pPr>
              <w:spacing w:before="120" w:after="120"/>
              <w:rPr>
                <w:rFonts w:cs="Arial"/>
                <w:b/>
              </w:rPr>
            </w:pPr>
            <w:r w:rsidRPr="003F43EE">
              <w:rPr>
                <w:rFonts w:cs="Arial"/>
                <w:b/>
                <w:color w:val="FFFFFF" w:themeColor="background1"/>
                <w:sz w:val="28"/>
                <w:szCs w:val="28"/>
              </w:rPr>
              <w:lastRenderedPageBreak/>
              <w:t xml:space="preserve">Checklist for </w:t>
            </w:r>
            <w:r w:rsidR="003E41EF">
              <w:rPr>
                <w:rFonts w:cs="Arial"/>
                <w:b/>
                <w:color w:val="FFFFFF" w:themeColor="background1"/>
                <w:sz w:val="28"/>
                <w:szCs w:val="28"/>
              </w:rPr>
              <w:t>business continuity</w:t>
            </w:r>
            <w:r w:rsidRPr="003F43EE">
              <w:rPr>
                <w:rFonts w:cs="Arial"/>
                <w:b/>
                <w:color w:val="FFFFFF" w:themeColor="background1"/>
                <w:sz w:val="28"/>
                <w:szCs w:val="28"/>
              </w:rPr>
              <w:t xml:space="preserve"> plans</w:t>
            </w:r>
          </w:p>
        </w:tc>
      </w:tr>
      <w:tr w:rsidR="003F43EE" w:rsidRPr="00AF3E74" w14:paraId="41C267B8" w14:textId="77777777" w:rsidTr="00E842E9">
        <w:trPr>
          <w:trHeight w:val="596"/>
        </w:trPr>
        <w:tc>
          <w:tcPr>
            <w:tcW w:w="12469" w:type="dxa"/>
            <w:shd w:val="clear" w:color="auto" w:fill="2F5496" w:themeFill="accent1" w:themeFillShade="BF"/>
            <w:vAlign w:val="center"/>
          </w:tcPr>
          <w:p w14:paraId="1C8D15D1" w14:textId="3ABFE50E" w:rsidR="003F43EE" w:rsidRPr="003F43EE" w:rsidRDefault="003F43EE" w:rsidP="00E842E9">
            <w:pPr>
              <w:spacing w:before="120" w:after="120"/>
              <w:rPr>
                <w:rFonts w:cs="Arial"/>
                <w:b/>
                <w:color w:val="FFFFFF" w:themeColor="background1"/>
                <w:sz w:val="28"/>
                <w:szCs w:val="28"/>
              </w:rPr>
            </w:pPr>
            <w:r w:rsidRPr="001A19B4">
              <w:rPr>
                <w:rFonts w:cs="Arial"/>
                <w:b/>
                <w:color w:val="FFFFFF" w:themeColor="background1"/>
              </w:rPr>
              <w:t>Action</w:t>
            </w:r>
          </w:p>
        </w:tc>
        <w:tc>
          <w:tcPr>
            <w:tcW w:w="1599" w:type="dxa"/>
            <w:shd w:val="clear" w:color="auto" w:fill="2F5496" w:themeFill="accent1" w:themeFillShade="BF"/>
            <w:vAlign w:val="center"/>
          </w:tcPr>
          <w:p w14:paraId="6B8AAAAC" w14:textId="0CA84D09" w:rsidR="003F43EE" w:rsidRPr="001A19B4" w:rsidRDefault="003F43EE" w:rsidP="00E842E9">
            <w:pPr>
              <w:spacing w:before="120" w:after="120"/>
              <w:jc w:val="center"/>
              <w:rPr>
                <w:rFonts w:cs="Arial"/>
                <w:b/>
                <w:color w:val="FFFFFF" w:themeColor="background1"/>
              </w:rPr>
            </w:pPr>
            <w:r w:rsidRPr="001A19B4">
              <w:rPr>
                <w:rFonts w:cs="Arial"/>
                <w:b/>
                <w:color w:val="FFFFFF" w:themeColor="background1"/>
              </w:rPr>
              <w:t>Tick box</w:t>
            </w:r>
          </w:p>
        </w:tc>
      </w:tr>
      <w:tr w:rsidR="00C976A9" w:rsidRPr="00AF3E74" w14:paraId="2D285E8F" w14:textId="77777777" w:rsidTr="00145637">
        <w:trPr>
          <w:trHeight w:val="522"/>
        </w:trPr>
        <w:tc>
          <w:tcPr>
            <w:tcW w:w="12469" w:type="dxa"/>
            <w:shd w:val="clear" w:color="auto" w:fill="D9E2F3" w:themeFill="accent1" w:themeFillTint="33"/>
          </w:tcPr>
          <w:p w14:paraId="6CCDE918" w14:textId="32B9D0DF" w:rsidR="00C976A9" w:rsidRPr="00A76EDB" w:rsidRDefault="00C976A9" w:rsidP="00892073">
            <w:pPr>
              <w:spacing w:before="120" w:after="120"/>
              <w:rPr>
                <w:rFonts w:cs="Arial"/>
                <w:szCs w:val="22"/>
              </w:rPr>
            </w:pPr>
            <w:r w:rsidRPr="00A76EDB">
              <w:rPr>
                <w:rFonts w:cs="Arial"/>
                <w:szCs w:val="22"/>
              </w:rPr>
              <w:t>Plan clearly states who is responsible for taking action and by when</w:t>
            </w:r>
            <w:r w:rsidR="00DF3180">
              <w:rPr>
                <w:rFonts w:cs="Arial"/>
                <w:szCs w:val="22"/>
              </w:rPr>
              <w:t>.</w:t>
            </w:r>
          </w:p>
        </w:tc>
        <w:tc>
          <w:tcPr>
            <w:tcW w:w="1599" w:type="dxa"/>
            <w:shd w:val="clear" w:color="auto" w:fill="D9E2F3" w:themeFill="accent1" w:themeFillTint="33"/>
          </w:tcPr>
          <w:p w14:paraId="327427D2" w14:textId="77777777" w:rsidR="00C976A9" w:rsidRPr="00AF3E74" w:rsidRDefault="00C976A9" w:rsidP="00E477D6">
            <w:pPr>
              <w:spacing w:before="120" w:after="120"/>
              <w:rPr>
                <w:rFonts w:cs="Arial"/>
              </w:rPr>
            </w:pPr>
          </w:p>
        </w:tc>
      </w:tr>
      <w:tr w:rsidR="00E15740" w:rsidRPr="00AF3E74" w14:paraId="006FB172" w14:textId="77777777" w:rsidTr="00145637">
        <w:trPr>
          <w:trHeight w:val="522"/>
        </w:trPr>
        <w:tc>
          <w:tcPr>
            <w:tcW w:w="12469" w:type="dxa"/>
            <w:shd w:val="clear" w:color="auto" w:fill="B4C6E7" w:themeFill="accent1" w:themeFillTint="66"/>
          </w:tcPr>
          <w:p w14:paraId="2AC3504C" w14:textId="61CAF962" w:rsidR="00E15740" w:rsidRPr="00A76EDB" w:rsidRDefault="00E15740" w:rsidP="00892073">
            <w:pPr>
              <w:spacing w:before="120" w:after="120"/>
              <w:rPr>
                <w:rFonts w:cs="Arial"/>
                <w:szCs w:val="22"/>
              </w:rPr>
            </w:pPr>
            <w:r w:rsidRPr="00A76EDB">
              <w:rPr>
                <w:rFonts w:cs="Arial"/>
                <w:szCs w:val="22"/>
              </w:rPr>
              <w:t xml:space="preserve">Plan includes mitigating actions that can be </w:t>
            </w:r>
            <w:r w:rsidR="009E7A2F">
              <w:rPr>
                <w:rFonts w:cs="Arial"/>
                <w:szCs w:val="22"/>
              </w:rPr>
              <w:t>carried out</w:t>
            </w:r>
            <w:r w:rsidRPr="00A76EDB">
              <w:rPr>
                <w:rFonts w:cs="Arial"/>
                <w:szCs w:val="22"/>
              </w:rPr>
              <w:t xml:space="preserve"> in advance to minimise likelihood of</w:t>
            </w:r>
            <w:r w:rsidR="003F43EE" w:rsidRPr="00A76EDB">
              <w:rPr>
                <w:rFonts w:cs="Arial"/>
                <w:szCs w:val="22"/>
              </w:rPr>
              <w:t>,</w:t>
            </w:r>
            <w:r w:rsidRPr="00A76EDB">
              <w:rPr>
                <w:rFonts w:cs="Arial"/>
                <w:szCs w:val="22"/>
              </w:rPr>
              <w:t xml:space="preserve"> or limit the impact </w:t>
            </w:r>
            <w:r w:rsidR="003F43EE" w:rsidRPr="00A76EDB">
              <w:rPr>
                <w:rFonts w:cs="Arial"/>
                <w:szCs w:val="22"/>
              </w:rPr>
              <w:t>of, problems</w:t>
            </w:r>
            <w:r w:rsidR="00DF3180">
              <w:rPr>
                <w:rFonts w:cs="Arial"/>
                <w:szCs w:val="22"/>
              </w:rPr>
              <w:t>.</w:t>
            </w:r>
          </w:p>
        </w:tc>
        <w:tc>
          <w:tcPr>
            <w:tcW w:w="1599" w:type="dxa"/>
            <w:shd w:val="clear" w:color="auto" w:fill="B4C6E7" w:themeFill="accent1" w:themeFillTint="66"/>
          </w:tcPr>
          <w:p w14:paraId="21EC4715" w14:textId="77777777" w:rsidR="00E15740" w:rsidRPr="00AF3E74" w:rsidRDefault="00E15740" w:rsidP="00E477D6">
            <w:pPr>
              <w:spacing w:before="120" w:after="120"/>
              <w:rPr>
                <w:rFonts w:cs="Arial"/>
              </w:rPr>
            </w:pPr>
          </w:p>
        </w:tc>
      </w:tr>
      <w:tr w:rsidR="00814043" w:rsidRPr="00AF3E74" w14:paraId="62AA7635" w14:textId="77777777" w:rsidTr="00145637">
        <w:trPr>
          <w:trHeight w:val="522"/>
        </w:trPr>
        <w:tc>
          <w:tcPr>
            <w:tcW w:w="12469" w:type="dxa"/>
            <w:shd w:val="clear" w:color="auto" w:fill="D9E2F3" w:themeFill="accent1" w:themeFillTint="33"/>
          </w:tcPr>
          <w:p w14:paraId="38E43996" w14:textId="2AC1D1FF" w:rsidR="00814043" w:rsidRPr="00A76EDB" w:rsidRDefault="00814043" w:rsidP="00892073">
            <w:pPr>
              <w:spacing w:before="120" w:after="120"/>
              <w:rPr>
                <w:rFonts w:cs="Arial"/>
                <w:szCs w:val="22"/>
              </w:rPr>
            </w:pPr>
            <w:r w:rsidRPr="00A76EDB">
              <w:rPr>
                <w:rFonts w:cs="Arial"/>
                <w:szCs w:val="22"/>
              </w:rPr>
              <w:t>Key information required for continuity of care</w:t>
            </w:r>
            <w:r w:rsidR="003E41EF">
              <w:rPr>
                <w:rFonts w:cs="Arial"/>
                <w:szCs w:val="22"/>
              </w:rPr>
              <w:t xml:space="preserve"> and the business</w:t>
            </w:r>
            <w:r w:rsidRPr="00A76EDB">
              <w:rPr>
                <w:rFonts w:cs="Arial"/>
                <w:szCs w:val="22"/>
              </w:rPr>
              <w:t xml:space="preserve"> is available in more than one way or location</w:t>
            </w:r>
            <w:r w:rsidR="00DF3180">
              <w:rPr>
                <w:rFonts w:cs="Arial"/>
                <w:szCs w:val="22"/>
              </w:rPr>
              <w:t>.</w:t>
            </w:r>
          </w:p>
        </w:tc>
        <w:tc>
          <w:tcPr>
            <w:tcW w:w="1599" w:type="dxa"/>
            <w:shd w:val="clear" w:color="auto" w:fill="D9E2F3" w:themeFill="accent1" w:themeFillTint="33"/>
          </w:tcPr>
          <w:p w14:paraId="2681F541" w14:textId="77777777" w:rsidR="00814043" w:rsidRPr="00AF3E74" w:rsidRDefault="00814043" w:rsidP="00E477D6">
            <w:pPr>
              <w:spacing w:before="120" w:after="120"/>
              <w:rPr>
                <w:rFonts w:cs="Arial"/>
              </w:rPr>
            </w:pPr>
          </w:p>
        </w:tc>
      </w:tr>
      <w:tr w:rsidR="00814043" w:rsidRPr="00AF3E74" w14:paraId="5EB3CA9B" w14:textId="77777777" w:rsidTr="00145637">
        <w:trPr>
          <w:trHeight w:val="522"/>
        </w:trPr>
        <w:tc>
          <w:tcPr>
            <w:tcW w:w="12469" w:type="dxa"/>
            <w:shd w:val="clear" w:color="auto" w:fill="B4C6E7" w:themeFill="accent1" w:themeFillTint="66"/>
          </w:tcPr>
          <w:p w14:paraId="7B875A40" w14:textId="5A7C101B" w:rsidR="008F725D" w:rsidRPr="00A76EDB" w:rsidRDefault="00814043" w:rsidP="00892073">
            <w:pPr>
              <w:spacing w:before="120" w:after="120"/>
              <w:rPr>
                <w:rFonts w:cs="Arial"/>
                <w:szCs w:val="22"/>
              </w:rPr>
            </w:pPr>
            <w:r w:rsidRPr="00A76EDB">
              <w:rPr>
                <w:rFonts w:cs="Arial"/>
                <w:szCs w:val="22"/>
              </w:rPr>
              <w:t xml:space="preserve">Plan clearly </w:t>
            </w:r>
            <w:r w:rsidR="008F725D" w:rsidRPr="00A76EDB">
              <w:rPr>
                <w:rFonts w:cs="Arial"/>
                <w:szCs w:val="22"/>
              </w:rPr>
              <w:t>identifies actions to be taken if problems arise</w:t>
            </w:r>
            <w:r w:rsidR="00DF3180">
              <w:rPr>
                <w:rFonts w:cs="Arial"/>
                <w:szCs w:val="22"/>
              </w:rPr>
              <w:t>.</w:t>
            </w:r>
          </w:p>
        </w:tc>
        <w:tc>
          <w:tcPr>
            <w:tcW w:w="1599" w:type="dxa"/>
            <w:shd w:val="clear" w:color="auto" w:fill="B4C6E7" w:themeFill="accent1" w:themeFillTint="66"/>
          </w:tcPr>
          <w:p w14:paraId="129E51C6" w14:textId="77777777" w:rsidR="00D748CA" w:rsidRPr="00AF3E74" w:rsidRDefault="00D748CA" w:rsidP="00E477D6">
            <w:pPr>
              <w:spacing w:before="120" w:after="120"/>
              <w:rPr>
                <w:rFonts w:cs="Arial"/>
              </w:rPr>
            </w:pPr>
          </w:p>
        </w:tc>
      </w:tr>
      <w:tr w:rsidR="00422894" w:rsidRPr="00AF3E74" w14:paraId="43F76156" w14:textId="77777777" w:rsidTr="00145637">
        <w:trPr>
          <w:trHeight w:val="522"/>
        </w:trPr>
        <w:tc>
          <w:tcPr>
            <w:tcW w:w="12469" w:type="dxa"/>
            <w:shd w:val="clear" w:color="auto" w:fill="D9E2F3" w:themeFill="accent1" w:themeFillTint="33"/>
          </w:tcPr>
          <w:p w14:paraId="2451337B" w14:textId="41C83CCE" w:rsidR="00422894" w:rsidRPr="003E41EF" w:rsidRDefault="00422894" w:rsidP="003E41EF">
            <w:pPr>
              <w:spacing w:before="120" w:after="120"/>
              <w:rPr>
                <w:rFonts w:cs="Arial"/>
                <w:szCs w:val="22"/>
              </w:rPr>
            </w:pPr>
            <w:r w:rsidRPr="003E41EF">
              <w:rPr>
                <w:rFonts w:cs="Arial"/>
                <w:szCs w:val="22"/>
              </w:rPr>
              <w:t>Risk</w:t>
            </w:r>
            <w:r w:rsidR="003F43EE" w:rsidRPr="003E41EF">
              <w:rPr>
                <w:rFonts w:cs="Arial"/>
                <w:szCs w:val="22"/>
              </w:rPr>
              <w:t xml:space="preserve"> </w:t>
            </w:r>
            <w:r w:rsidRPr="003E41EF">
              <w:rPr>
                <w:rFonts w:cs="Arial"/>
                <w:szCs w:val="22"/>
              </w:rPr>
              <w:t>assessment has been carried out to identify risk areas in relation to supplies</w:t>
            </w:r>
            <w:r w:rsidR="00DF3180" w:rsidRPr="003E41EF">
              <w:rPr>
                <w:rFonts w:cs="Arial"/>
                <w:szCs w:val="22"/>
              </w:rPr>
              <w:t>.</w:t>
            </w:r>
            <w:r w:rsidRPr="003E41EF">
              <w:rPr>
                <w:rFonts w:cs="Arial"/>
                <w:szCs w:val="22"/>
              </w:rPr>
              <w:t xml:space="preserve"> The procurement of key items such as incontinence products, syringe drivers, PEG feeding tubes</w:t>
            </w:r>
            <w:r w:rsidR="009D0B8C" w:rsidRPr="003E41EF">
              <w:rPr>
                <w:rFonts w:cs="Arial"/>
                <w:szCs w:val="22"/>
              </w:rPr>
              <w:t xml:space="preserve"> and</w:t>
            </w:r>
            <w:r w:rsidRPr="003E41EF">
              <w:rPr>
                <w:rFonts w:cs="Arial"/>
                <w:szCs w:val="22"/>
              </w:rPr>
              <w:t xml:space="preserve"> catheters has been identified</w:t>
            </w:r>
            <w:r w:rsidR="00DF3180" w:rsidRPr="003E41EF">
              <w:rPr>
                <w:rFonts w:cs="Arial"/>
                <w:szCs w:val="22"/>
              </w:rPr>
              <w:t>.</w:t>
            </w:r>
          </w:p>
        </w:tc>
        <w:tc>
          <w:tcPr>
            <w:tcW w:w="1599" w:type="dxa"/>
            <w:shd w:val="clear" w:color="auto" w:fill="D9E2F3" w:themeFill="accent1" w:themeFillTint="33"/>
          </w:tcPr>
          <w:p w14:paraId="57787A44" w14:textId="77777777" w:rsidR="00422894" w:rsidRPr="00AF3E74" w:rsidRDefault="00422894" w:rsidP="00E477D6">
            <w:pPr>
              <w:spacing w:before="120" w:after="120"/>
              <w:rPr>
                <w:rFonts w:cs="Arial"/>
              </w:rPr>
            </w:pPr>
          </w:p>
        </w:tc>
      </w:tr>
      <w:tr w:rsidR="00814043" w:rsidRPr="00AF3E74" w14:paraId="2A47D6C0" w14:textId="77777777" w:rsidTr="00145637">
        <w:trPr>
          <w:trHeight w:val="522"/>
        </w:trPr>
        <w:tc>
          <w:tcPr>
            <w:tcW w:w="12469" w:type="dxa"/>
            <w:shd w:val="clear" w:color="auto" w:fill="D9E2F3" w:themeFill="accent1" w:themeFillTint="33"/>
          </w:tcPr>
          <w:p w14:paraId="21E6E528" w14:textId="599A4C87" w:rsidR="00D748CA" w:rsidRPr="00A76EDB" w:rsidRDefault="008F725D" w:rsidP="00892073">
            <w:pPr>
              <w:spacing w:before="120" w:after="120"/>
              <w:rPr>
                <w:rFonts w:cs="Arial"/>
                <w:szCs w:val="22"/>
              </w:rPr>
            </w:pPr>
            <w:r w:rsidRPr="00A76EDB">
              <w:rPr>
                <w:rFonts w:cs="Arial"/>
                <w:szCs w:val="22"/>
              </w:rPr>
              <w:t>It has been agreed where the plan will be stored, in what format and how it will be accessed</w:t>
            </w:r>
            <w:r w:rsidR="00DF3180">
              <w:rPr>
                <w:rFonts w:cs="Arial"/>
                <w:szCs w:val="22"/>
              </w:rPr>
              <w:t>.</w:t>
            </w:r>
          </w:p>
        </w:tc>
        <w:tc>
          <w:tcPr>
            <w:tcW w:w="1599" w:type="dxa"/>
            <w:shd w:val="clear" w:color="auto" w:fill="D9E2F3" w:themeFill="accent1" w:themeFillTint="33"/>
          </w:tcPr>
          <w:p w14:paraId="31F1F4C4" w14:textId="77777777" w:rsidR="00D748CA" w:rsidRPr="00AF3E74" w:rsidRDefault="00D748CA" w:rsidP="00E477D6">
            <w:pPr>
              <w:spacing w:before="120" w:after="120"/>
              <w:rPr>
                <w:rFonts w:cs="Arial"/>
              </w:rPr>
            </w:pPr>
          </w:p>
        </w:tc>
      </w:tr>
      <w:tr w:rsidR="00814043" w:rsidRPr="00AF3E74" w14:paraId="110886B0" w14:textId="77777777" w:rsidTr="00145637">
        <w:trPr>
          <w:trHeight w:val="522"/>
        </w:trPr>
        <w:tc>
          <w:tcPr>
            <w:tcW w:w="12469" w:type="dxa"/>
            <w:shd w:val="clear" w:color="auto" w:fill="B4C6E7" w:themeFill="accent1" w:themeFillTint="66"/>
          </w:tcPr>
          <w:p w14:paraId="098C7AB3" w14:textId="02444ED2" w:rsidR="00D748CA" w:rsidRPr="00A76EDB" w:rsidRDefault="008F725D" w:rsidP="00892073">
            <w:pPr>
              <w:spacing w:before="120" w:after="120"/>
              <w:rPr>
                <w:rFonts w:cs="Arial"/>
                <w:szCs w:val="22"/>
              </w:rPr>
            </w:pPr>
            <w:r w:rsidRPr="00A76EDB">
              <w:rPr>
                <w:rFonts w:cs="Arial"/>
                <w:szCs w:val="22"/>
              </w:rPr>
              <w:t>Plan includes contact details for key suppliers, alternative suppliers</w:t>
            </w:r>
            <w:r w:rsidR="00F957B3">
              <w:rPr>
                <w:rFonts w:cs="Arial"/>
                <w:szCs w:val="22"/>
              </w:rPr>
              <w:t>,</w:t>
            </w:r>
            <w:r w:rsidRPr="00A76EDB">
              <w:rPr>
                <w:rFonts w:cs="Arial"/>
                <w:szCs w:val="22"/>
              </w:rPr>
              <w:t xml:space="preserve"> as well as maintenance services</w:t>
            </w:r>
            <w:r w:rsidR="00DF3180">
              <w:rPr>
                <w:rFonts w:cs="Arial"/>
                <w:szCs w:val="22"/>
              </w:rPr>
              <w:t>.</w:t>
            </w:r>
          </w:p>
        </w:tc>
        <w:tc>
          <w:tcPr>
            <w:tcW w:w="1599" w:type="dxa"/>
            <w:shd w:val="clear" w:color="auto" w:fill="B4C6E7" w:themeFill="accent1" w:themeFillTint="66"/>
          </w:tcPr>
          <w:p w14:paraId="6D4BD3C8" w14:textId="77777777" w:rsidR="00D748CA" w:rsidRPr="00AF3E74" w:rsidRDefault="00D748CA" w:rsidP="00E477D6">
            <w:pPr>
              <w:spacing w:before="120" w:after="120"/>
              <w:rPr>
                <w:rFonts w:cs="Arial"/>
              </w:rPr>
            </w:pPr>
          </w:p>
        </w:tc>
      </w:tr>
      <w:tr w:rsidR="00814043" w:rsidRPr="00AF3E74" w14:paraId="5A61F987" w14:textId="77777777" w:rsidTr="00145637">
        <w:trPr>
          <w:trHeight w:val="804"/>
        </w:trPr>
        <w:tc>
          <w:tcPr>
            <w:tcW w:w="12469" w:type="dxa"/>
            <w:shd w:val="clear" w:color="auto" w:fill="D9E2F3" w:themeFill="accent1" w:themeFillTint="33"/>
          </w:tcPr>
          <w:p w14:paraId="685B6137" w14:textId="75C64E47" w:rsidR="008F725D" w:rsidRPr="00A76EDB" w:rsidRDefault="00422894" w:rsidP="004F367F">
            <w:pPr>
              <w:spacing w:before="120" w:after="120"/>
              <w:rPr>
                <w:rFonts w:cs="Arial"/>
                <w:szCs w:val="22"/>
              </w:rPr>
            </w:pPr>
            <w:r w:rsidRPr="00A76EDB">
              <w:rPr>
                <w:rFonts w:cs="Arial"/>
                <w:szCs w:val="22"/>
              </w:rPr>
              <w:t xml:space="preserve">Plan includes contact details for key commissioners including local authorities, </w:t>
            </w:r>
            <w:r w:rsidR="00F957B3">
              <w:rPr>
                <w:rFonts w:cs="Arial"/>
                <w:szCs w:val="22"/>
              </w:rPr>
              <w:t xml:space="preserve">the </w:t>
            </w:r>
            <w:r w:rsidRPr="00A76EDB">
              <w:rPr>
                <w:rFonts w:cs="Arial"/>
                <w:szCs w:val="22"/>
              </w:rPr>
              <w:t>Care Quality Commission</w:t>
            </w:r>
            <w:r w:rsidR="009E7A2F">
              <w:rPr>
                <w:rFonts w:cs="Arial"/>
                <w:szCs w:val="22"/>
              </w:rPr>
              <w:t>,</w:t>
            </w:r>
            <w:r w:rsidRPr="00A76EDB">
              <w:rPr>
                <w:rFonts w:cs="Arial"/>
                <w:szCs w:val="22"/>
              </w:rPr>
              <w:t xml:space="preserve"> local health services</w:t>
            </w:r>
            <w:r w:rsidR="004F367F">
              <w:rPr>
                <w:rFonts w:cs="Arial"/>
                <w:szCs w:val="22"/>
              </w:rPr>
              <w:t>, and the local health resilience partnership,</w:t>
            </w:r>
            <w:r w:rsidRPr="00A76EDB">
              <w:rPr>
                <w:rFonts w:cs="Arial"/>
                <w:szCs w:val="22"/>
              </w:rPr>
              <w:t xml:space="preserve"> including, where relevant, out-of-hours contact details</w:t>
            </w:r>
            <w:r w:rsidR="00DF3180">
              <w:rPr>
                <w:rFonts w:cs="Arial"/>
                <w:szCs w:val="22"/>
              </w:rPr>
              <w:t>.</w:t>
            </w:r>
          </w:p>
        </w:tc>
        <w:tc>
          <w:tcPr>
            <w:tcW w:w="1599" w:type="dxa"/>
            <w:shd w:val="clear" w:color="auto" w:fill="D9E2F3" w:themeFill="accent1" w:themeFillTint="33"/>
          </w:tcPr>
          <w:p w14:paraId="14AD60A9" w14:textId="77777777" w:rsidR="00D748CA" w:rsidRPr="00AF3E74" w:rsidRDefault="00D748CA" w:rsidP="00E477D6">
            <w:pPr>
              <w:spacing w:before="120" w:after="120"/>
              <w:rPr>
                <w:rFonts w:cs="Arial"/>
              </w:rPr>
            </w:pPr>
          </w:p>
        </w:tc>
      </w:tr>
      <w:tr w:rsidR="005D29EE" w:rsidRPr="00AF3E74" w14:paraId="594786CC" w14:textId="77777777" w:rsidTr="00145637">
        <w:trPr>
          <w:trHeight w:val="611"/>
        </w:trPr>
        <w:tc>
          <w:tcPr>
            <w:tcW w:w="12469" w:type="dxa"/>
            <w:shd w:val="clear" w:color="auto" w:fill="B4C6E7" w:themeFill="accent1" w:themeFillTint="66"/>
          </w:tcPr>
          <w:p w14:paraId="51E01480" w14:textId="31E2F2BC" w:rsidR="008E06E6" w:rsidRPr="00A76EDB" w:rsidRDefault="005D29EE" w:rsidP="00E477D6">
            <w:pPr>
              <w:spacing w:before="120" w:after="120"/>
              <w:rPr>
                <w:rFonts w:cs="Arial"/>
                <w:szCs w:val="22"/>
              </w:rPr>
            </w:pPr>
            <w:r w:rsidRPr="00A76EDB">
              <w:rPr>
                <w:rFonts w:cs="Arial"/>
                <w:szCs w:val="22"/>
              </w:rPr>
              <w:t>There is provision i</w:t>
            </w:r>
            <w:r w:rsidR="008E06E6" w:rsidRPr="00A76EDB">
              <w:rPr>
                <w:rFonts w:cs="Arial"/>
                <w:szCs w:val="22"/>
              </w:rPr>
              <w:t xml:space="preserve">n the plan to record (and budget) for any extra </w:t>
            </w:r>
            <w:r w:rsidRPr="00A76EDB">
              <w:rPr>
                <w:rFonts w:cs="Arial"/>
                <w:szCs w:val="22"/>
              </w:rPr>
              <w:t>costs result</w:t>
            </w:r>
            <w:r w:rsidR="00892073" w:rsidRPr="00A76EDB">
              <w:rPr>
                <w:rFonts w:cs="Arial"/>
                <w:szCs w:val="22"/>
              </w:rPr>
              <w:t>ing</w:t>
            </w:r>
            <w:r w:rsidR="008E06E6" w:rsidRPr="00A76EDB">
              <w:rPr>
                <w:rFonts w:cs="Arial"/>
                <w:szCs w:val="22"/>
              </w:rPr>
              <w:t xml:space="preserve"> from </w:t>
            </w:r>
            <w:r w:rsidR="00BB5983">
              <w:rPr>
                <w:rFonts w:cs="Arial"/>
                <w:szCs w:val="22"/>
              </w:rPr>
              <w:t>situations outlined in the plan</w:t>
            </w:r>
            <w:r w:rsidR="00DF3180">
              <w:rPr>
                <w:rFonts w:cs="Arial"/>
                <w:szCs w:val="22"/>
              </w:rPr>
              <w:t>.</w:t>
            </w:r>
          </w:p>
        </w:tc>
        <w:tc>
          <w:tcPr>
            <w:tcW w:w="1599" w:type="dxa"/>
            <w:shd w:val="clear" w:color="auto" w:fill="B4C6E7" w:themeFill="accent1" w:themeFillTint="66"/>
          </w:tcPr>
          <w:p w14:paraId="1C7F435A" w14:textId="77777777" w:rsidR="005D29EE" w:rsidRPr="00AF3E74" w:rsidRDefault="005D29EE" w:rsidP="00E477D6">
            <w:pPr>
              <w:spacing w:before="120" w:after="120"/>
              <w:rPr>
                <w:rFonts w:cs="Arial"/>
              </w:rPr>
            </w:pPr>
          </w:p>
        </w:tc>
      </w:tr>
      <w:tr w:rsidR="00D50750" w:rsidRPr="00AF3E74" w14:paraId="04D5B31B" w14:textId="77777777" w:rsidTr="00145637">
        <w:trPr>
          <w:trHeight w:val="611"/>
        </w:trPr>
        <w:tc>
          <w:tcPr>
            <w:tcW w:w="12469" w:type="dxa"/>
            <w:shd w:val="clear" w:color="auto" w:fill="D9E2F3" w:themeFill="accent1" w:themeFillTint="33"/>
          </w:tcPr>
          <w:p w14:paraId="21E4CA41" w14:textId="3B0D0878" w:rsidR="00D50750" w:rsidRPr="00A76EDB" w:rsidRDefault="00D50750" w:rsidP="00E477D6">
            <w:pPr>
              <w:spacing w:before="120" w:after="120"/>
              <w:rPr>
                <w:rFonts w:cs="Arial"/>
                <w:szCs w:val="22"/>
              </w:rPr>
            </w:pPr>
            <w:r w:rsidRPr="00A76EDB">
              <w:rPr>
                <w:rFonts w:cs="Arial"/>
                <w:szCs w:val="22"/>
              </w:rPr>
              <w:t xml:space="preserve">Plan </w:t>
            </w:r>
            <w:r w:rsidR="00FD296E">
              <w:rPr>
                <w:rFonts w:cs="Arial"/>
                <w:szCs w:val="22"/>
              </w:rPr>
              <w:t>states</w:t>
            </w:r>
            <w:r w:rsidRPr="00A76EDB">
              <w:rPr>
                <w:rFonts w:cs="Arial"/>
                <w:szCs w:val="22"/>
              </w:rPr>
              <w:t xml:space="preserve"> where </w:t>
            </w:r>
            <w:r w:rsidR="00E327A9" w:rsidRPr="00A76EDB">
              <w:rPr>
                <w:rFonts w:cs="Arial"/>
                <w:szCs w:val="22"/>
              </w:rPr>
              <w:t>the Care Qual</w:t>
            </w:r>
            <w:r w:rsidRPr="00A76EDB">
              <w:rPr>
                <w:rFonts w:cs="Arial"/>
                <w:szCs w:val="22"/>
              </w:rPr>
              <w:t xml:space="preserve">ity Commission </w:t>
            </w:r>
            <w:r w:rsidR="00E327A9" w:rsidRPr="00A76EDB">
              <w:rPr>
                <w:rFonts w:cs="Arial"/>
                <w:szCs w:val="22"/>
              </w:rPr>
              <w:t>and other regulators</w:t>
            </w:r>
            <w:r w:rsidR="00DF3180">
              <w:rPr>
                <w:rFonts w:cs="Arial"/>
                <w:szCs w:val="22"/>
              </w:rPr>
              <w:t>,</w:t>
            </w:r>
            <w:r w:rsidR="00E327A9" w:rsidRPr="00A76EDB">
              <w:rPr>
                <w:rFonts w:cs="Arial"/>
                <w:szCs w:val="22"/>
              </w:rPr>
              <w:t xml:space="preserve"> such as the Charity Commission</w:t>
            </w:r>
            <w:r w:rsidR="00DF3180">
              <w:rPr>
                <w:rFonts w:cs="Arial"/>
                <w:szCs w:val="22"/>
              </w:rPr>
              <w:t>,</w:t>
            </w:r>
            <w:r w:rsidR="00FD296E">
              <w:rPr>
                <w:rFonts w:cs="Arial"/>
                <w:szCs w:val="22"/>
              </w:rPr>
              <w:t xml:space="preserve"> need to be informed</w:t>
            </w:r>
            <w:r w:rsidR="00DF3180">
              <w:rPr>
                <w:rFonts w:cs="Arial"/>
                <w:szCs w:val="22"/>
              </w:rPr>
              <w:t>.</w:t>
            </w:r>
            <w:r w:rsidR="00E327A9" w:rsidRPr="00A76EDB">
              <w:rPr>
                <w:rFonts w:cs="Arial"/>
                <w:szCs w:val="22"/>
              </w:rPr>
              <w:t xml:space="preserve"> </w:t>
            </w:r>
          </w:p>
        </w:tc>
        <w:tc>
          <w:tcPr>
            <w:tcW w:w="1599" w:type="dxa"/>
            <w:shd w:val="clear" w:color="auto" w:fill="D9E2F3" w:themeFill="accent1" w:themeFillTint="33"/>
          </w:tcPr>
          <w:p w14:paraId="612FE0F3" w14:textId="77777777" w:rsidR="00D50750" w:rsidRPr="00AF3E74" w:rsidRDefault="00D50750" w:rsidP="00E477D6">
            <w:pPr>
              <w:spacing w:before="120" w:after="120"/>
              <w:rPr>
                <w:rFonts w:cs="Arial"/>
              </w:rPr>
            </w:pPr>
          </w:p>
        </w:tc>
      </w:tr>
      <w:tr w:rsidR="00422894" w:rsidRPr="00AF3E74" w14:paraId="66766843" w14:textId="77777777" w:rsidTr="00145637">
        <w:trPr>
          <w:trHeight w:val="239"/>
        </w:trPr>
        <w:tc>
          <w:tcPr>
            <w:tcW w:w="12469" w:type="dxa"/>
            <w:shd w:val="clear" w:color="auto" w:fill="D9E2F3" w:themeFill="accent1" w:themeFillTint="33"/>
          </w:tcPr>
          <w:p w14:paraId="623B6336" w14:textId="5F458AB9" w:rsidR="00422894" w:rsidRPr="00A76EDB" w:rsidRDefault="00422894" w:rsidP="00E477D6">
            <w:pPr>
              <w:spacing w:before="120" w:after="120"/>
              <w:rPr>
                <w:rFonts w:cs="Arial"/>
                <w:b/>
                <w:szCs w:val="22"/>
              </w:rPr>
            </w:pPr>
            <w:r w:rsidRPr="00A76EDB">
              <w:rPr>
                <w:rFonts w:cs="Arial"/>
                <w:b/>
                <w:szCs w:val="22"/>
              </w:rPr>
              <w:t>In an emergency, it’s important to keep a record of actions and decisions, and to debrief afterwards</w:t>
            </w:r>
            <w:r w:rsidR="003F43EE" w:rsidRPr="00A76EDB">
              <w:rPr>
                <w:rFonts w:cs="Arial"/>
                <w:b/>
                <w:szCs w:val="22"/>
              </w:rPr>
              <w:t>.</w:t>
            </w:r>
          </w:p>
        </w:tc>
        <w:tc>
          <w:tcPr>
            <w:tcW w:w="1599" w:type="dxa"/>
            <w:shd w:val="clear" w:color="auto" w:fill="D9E2F3" w:themeFill="accent1" w:themeFillTint="33"/>
          </w:tcPr>
          <w:p w14:paraId="1B59FE1D" w14:textId="77777777" w:rsidR="00422894" w:rsidRPr="00AF3E74" w:rsidRDefault="00422894" w:rsidP="00E477D6">
            <w:pPr>
              <w:spacing w:before="120" w:after="120"/>
              <w:rPr>
                <w:rFonts w:cs="Arial"/>
              </w:rPr>
            </w:pPr>
          </w:p>
        </w:tc>
      </w:tr>
    </w:tbl>
    <w:p w14:paraId="6F0208ED" w14:textId="3C1D6568" w:rsidR="0084012F" w:rsidRDefault="0084012F" w:rsidP="00E477D6">
      <w:pPr>
        <w:rPr>
          <w:rFonts w:cs="Arial"/>
          <w:b/>
          <w:sz w:val="28"/>
          <w:szCs w:val="28"/>
        </w:rPr>
      </w:pPr>
    </w:p>
    <w:p w14:paraId="4EC8239E" w14:textId="77777777" w:rsidR="0084012F" w:rsidRDefault="0084012F" w:rsidP="00E477D6">
      <w:pPr>
        <w:rPr>
          <w:rFonts w:cs="Arial"/>
          <w:b/>
          <w:sz w:val="28"/>
          <w:szCs w:val="28"/>
        </w:rPr>
      </w:pPr>
    </w:p>
    <w:p w14:paraId="56160B59" w14:textId="77777777" w:rsidR="00F45D83" w:rsidRDefault="00F45D83">
      <w:pPr>
        <w:rPr>
          <w:rFonts w:cs="Arial"/>
          <w:b/>
          <w:sz w:val="28"/>
          <w:szCs w:val="28"/>
        </w:rPr>
      </w:pPr>
      <w:r>
        <w:rPr>
          <w:rFonts w:cs="Arial"/>
          <w:b/>
          <w:sz w:val="28"/>
          <w:szCs w:val="28"/>
        </w:rPr>
        <w:br w:type="page"/>
      </w:r>
    </w:p>
    <w:p w14:paraId="4CDC5B00" w14:textId="3BF58C59" w:rsidR="000F314A" w:rsidRPr="00E477D6" w:rsidRDefault="000F314A" w:rsidP="00E477D6">
      <w:pPr>
        <w:rPr>
          <w:rFonts w:cs="Arial"/>
          <w:b/>
          <w:sz w:val="28"/>
          <w:szCs w:val="28"/>
        </w:rPr>
      </w:pPr>
      <w:r w:rsidRPr="00E477D6">
        <w:rPr>
          <w:rFonts w:cs="Arial"/>
          <w:b/>
          <w:sz w:val="28"/>
          <w:szCs w:val="28"/>
        </w:rPr>
        <w:lastRenderedPageBreak/>
        <w:t xml:space="preserve">Action </w:t>
      </w:r>
      <w:r w:rsidR="00E477D6">
        <w:rPr>
          <w:rFonts w:cs="Arial"/>
          <w:b/>
          <w:sz w:val="28"/>
          <w:szCs w:val="28"/>
        </w:rPr>
        <w:t>l</w:t>
      </w:r>
      <w:r w:rsidRPr="00E477D6">
        <w:rPr>
          <w:rFonts w:cs="Arial"/>
          <w:b/>
          <w:sz w:val="28"/>
          <w:szCs w:val="28"/>
        </w:rPr>
        <w:t>og</w:t>
      </w:r>
    </w:p>
    <w:p w14:paraId="5FA38778" w14:textId="77777777" w:rsidR="008D420D" w:rsidRPr="00AF3E74" w:rsidRDefault="008D420D" w:rsidP="008D420D">
      <w:pPr>
        <w:jc w:val="center"/>
        <w:rPr>
          <w:rFonts w:cs="Arial"/>
          <w:b/>
        </w:rPr>
      </w:pPr>
    </w:p>
    <w:tbl>
      <w:tblPr>
        <w:tblStyle w:val="TableGrid"/>
        <w:tblW w:w="0" w:type="auto"/>
        <w:tblLook w:val="04A0" w:firstRow="1" w:lastRow="0" w:firstColumn="1" w:lastColumn="0" w:noHBand="0" w:noVBand="1"/>
      </w:tblPr>
      <w:tblGrid>
        <w:gridCol w:w="2405"/>
        <w:gridCol w:w="11545"/>
      </w:tblGrid>
      <w:tr w:rsidR="000F314A" w:rsidRPr="00AF3E74" w14:paraId="10057B44" w14:textId="77777777" w:rsidTr="00FA11F9">
        <w:tc>
          <w:tcPr>
            <w:tcW w:w="2405" w:type="dxa"/>
            <w:shd w:val="clear" w:color="auto" w:fill="2F5496" w:themeFill="accent1" w:themeFillShade="BF"/>
            <w:vAlign w:val="center"/>
          </w:tcPr>
          <w:p w14:paraId="7C0D21B2" w14:textId="1270BFBE" w:rsidR="000F314A" w:rsidRPr="00FA11F9" w:rsidRDefault="00F70EF7" w:rsidP="00FA11F9">
            <w:pPr>
              <w:spacing w:before="240" w:after="120"/>
              <w:rPr>
                <w:rFonts w:cs="Arial"/>
                <w:b/>
              </w:rPr>
            </w:pPr>
            <w:r w:rsidRPr="00FA11F9">
              <w:rPr>
                <w:rFonts w:cs="Arial"/>
                <w:b/>
                <w:color w:val="FFFFFF" w:themeColor="background1"/>
              </w:rPr>
              <w:t>Date</w:t>
            </w:r>
          </w:p>
        </w:tc>
        <w:tc>
          <w:tcPr>
            <w:tcW w:w="11545" w:type="dxa"/>
            <w:shd w:val="clear" w:color="auto" w:fill="2F5496" w:themeFill="accent1" w:themeFillShade="BF"/>
          </w:tcPr>
          <w:p w14:paraId="1ED2975D" w14:textId="1C626134" w:rsidR="000F314A" w:rsidRPr="00FA11F9" w:rsidRDefault="000F314A" w:rsidP="00FA11F9">
            <w:pPr>
              <w:spacing w:before="240" w:after="120"/>
              <w:rPr>
                <w:rFonts w:cs="Arial"/>
                <w:b/>
              </w:rPr>
            </w:pPr>
            <w:r w:rsidRPr="00FA11F9">
              <w:rPr>
                <w:rFonts w:cs="Arial"/>
                <w:b/>
                <w:color w:val="FFFFFF" w:themeColor="background1"/>
              </w:rPr>
              <w:t>Action Taken</w:t>
            </w:r>
          </w:p>
        </w:tc>
      </w:tr>
      <w:tr w:rsidR="000F314A" w:rsidRPr="00AF3E74" w14:paraId="223982CD" w14:textId="77777777" w:rsidTr="00F70EF7">
        <w:tc>
          <w:tcPr>
            <w:tcW w:w="2405" w:type="dxa"/>
          </w:tcPr>
          <w:p w14:paraId="3D56A72F" w14:textId="77777777" w:rsidR="000F314A" w:rsidRPr="00AF3E74" w:rsidRDefault="000F314A">
            <w:pPr>
              <w:rPr>
                <w:rFonts w:cs="Arial"/>
              </w:rPr>
            </w:pPr>
          </w:p>
        </w:tc>
        <w:tc>
          <w:tcPr>
            <w:tcW w:w="11545" w:type="dxa"/>
          </w:tcPr>
          <w:p w14:paraId="40589ADA" w14:textId="77777777" w:rsidR="000F314A" w:rsidRPr="00AF3E74" w:rsidRDefault="000F314A">
            <w:pPr>
              <w:rPr>
                <w:rFonts w:cs="Arial"/>
              </w:rPr>
            </w:pPr>
          </w:p>
        </w:tc>
      </w:tr>
      <w:tr w:rsidR="00654693" w:rsidRPr="00AF3E74" w14:paraId="1D2B1388" w14:textId="77777777" w:rsidTr="00F70EF7">
        <w:tc>
          <w:tcPr>
            <w:tcW w:w="2405" w:type="dxa"/>
          </w:tcPr>
          <w:p w14:paraId="6299ABAA" w14:textId="77777777" w:rsidR="00654693" w:rsidRPr="00AF3E74" w:rsidRDefault="00654693">
            <w:pPr>
              <w:rPr>
                <w:rFonts w:cs="Arial"/>
              </w:rPr>
            </w:pPr>
          </w:p>
        </w:tc>
        <w:tc>
          <w:tcPr>
            <w:tcW w:w="11545" w:type="dxa"/>
          </w:tcPr>
          <w:p w14:paraId="3C5B7F2F" w14:textId="77777777" w:rsidR="00654693" w:rsidRPr="00AF3E74" w:rsidRDefault="00654693">
            <w:pPr>
              <w:rPr>
                <w:rFonts w:cs="Arial"/>
              </w:rPr>
            </w:pPr>
          </w:p>
        </w:tc>
      </w:tr>
      <w:tr w:rsidR="00654693" w:rsidRPr="00AF3E74" w14:paraId="15975D0B" w14:textId="77777777" w:rsidTr="00F70EF7">
        <w:tc>
          <w:tcPr>
            <w:tcW w:w="2405" w:type="dxa"/>
          </w:tcPr>
          <w:p w14:paraId="264750EF" w14:textId="77777777" w:rsidR="00654693" w:rsidRPr="00AF3E74" w:rsidRDefault="00654693">
            <w:pPr>
              <w:rPr>
                <w:rFonts w:cs="Arial"/>
              </w:rPr>
            </w:pPr>
          </w:p>
        </w:tc>
        <w:tc>
          <w:tcPr>
            <w:tcW w:w="11545" w:type="dxa"/>
          </w:tcPr>
          <w:p w14:paraId="18F8A324" w14:textId="77777777" w:rsidR="00654693" w:rsidRPr="00AF3E74" w:rsidRDefault="00654693">
            <w:pPr>
              <w:rPr>
                <w:rFonts w:cs="Arial"/>
              </w:rPr>
            </w:pPr>
          </w:p>
        </w:tc>
      </w:tr>
      <w:tr w:rsidR="00654693" w:rsidRPr="00AF3E74" w14:paraId="6F8E5883" w14:textId="77777777" w:rsidTr="00F70EF7">
        <w:tc>
          <w:tcPr>
            <w:tcW w:w="2405" w:type="dxa"/>
          </w:tcPr>
          <w:p w14:paraId="03FB1DF3" w14:textId="77777777" w:rsidR="00654693" w:rsidRPr="00AF3E74" w:rsidRDefault="00654693">
            <w:pPr>
              <w:rPr>
                <w:rFonts w:cs="Arial"/>
              </w:rPr>
            </w:pPr>
          </w:p>
        </w:tc>
        <w:tc>
          <w:tcPr>
            <w:tcW w:w="11545" w:type="dxa"/>
          </w:tcPr>
          <w:p w14:paraId="53B8B1EB" w14:textId="77777777" w:rsidR="00654693" w:rsidRPr="00AF3E74" w:rsidRDefault="00654693">
            <w:pPr>
              <w:rPr>
                <w:rFonts w:cs="Arial"/>
              </w:rPr>
            </w:pPr>
          </w:p>
        </w:tc>
      </w:tr>
      <w:tr w:rsidR="00654693" w:rsidRPr="00AF3E74" w14:paraId="78499896" w14:textId="77777777" w:rsidTr="00F70EF7">
        <w:tc>
          <w:tcPr>
            <w:tcW w:w="2405" w:type="dxa"/>
          </w:tcPr>
          <w:p w14:paraId="716F32FC" w14:textId="77777777" w:rsidR="00654693" w:rsidRPr="00AF3E74" w:rsidRDefault="00654693">
            <w:pPr>
              <w:rPr>
                <w:rFonts w:cs="Arial"/>
              </w:rPr>
            </w:pPr>
          </w:p>
        </w:tc>
        <w:tc>
          <w:tcPr>
            <w:tcW w:w="11545" w:type="dxa"/>
          </w:tcPr>
          <w:p w14:paraId="5203D685" w14:textId="77777777" w:rsidR="00654693" w:rsidRPr="00AF3E74" w:rsidRDefault="00654693">
            <w:pPr>
              <w:rPr>
                <w:rFonts w:cs="Arial"/>
              </w:rPr>
            </w:pPr>
          </w:p>
        </w:tc>
      </w:tr>
      <w:tr w:rsidR="008D420D" w:rsidRPr="00AF3E74" w14:paraId="52C4EF08" w14:textId="77777777" w:rsidTr="00F70EF7">
        <w:tc>
          <w:tcPr>
            <w:tcW w:w="2405" w:type="dxa"/>
          </w:tcPr>
          <w:p w14:paraId="46719960" w14:textId="77777777" w:rsidR="008D420D" w:rsidRPr="00AF3E74" w:rsidRDefault="008D420D">
            <w:pPr>
              <w:rPr>
                <w:rFonts w:cs="Arial"/>
              </w:rPr>
            </w:pPr>
          </w:p>
        </w:tc>
        <w:tc>
          <w:tcPr>
            <w:tcW w:w="11545" w:type="dxa"/>
          </w:tcPr>
          <w:p w14:paraId="0F15CF78" w14:textId="77777777" w:rsidR="008D420D" w:rsidRPr="00AF3E74" w:rsidRDefault="008D420D">
            <w:pPr>
              <w:rPr>
                <w:rFonts w:cs="Arial"/>
              </w:rPr>
            </w:pPr>
          </w:p>
        </w:tc>
      </w:tr>
      <w:tr w:rsidR="000E69FF" w:rsidRPr="00AF3E74" w14:paraId="5EBCD244" w14:textId="77777777" w:rsidTr="00F70EF7">
        <w:tc>
          <w:tcPr>
            <w:tcW w:w="2405" w:type="dxa"/>
          </w:tcPr>
          <w:p w14:paraId="5C4C00DC" w14:textId="77777777" w:rsidR="000E69FF" w:rsidRPr="00AF3E74" w:rsidRDefault="000E69FF">
            <w:pPr>
              <w:rPr>
                <w:rFonts w:cs="Arial"/>
              </w:rPr>
            </w:pPr>
          </w:p>
        </w:tc>
        <w:tc>
          <w:tcPr>
            <w:tcW w:w="11545" w:type="dxa"/>
          </w:tcPr>
          <w:p w14:paraId="6AC9E757" w14:textId="77777777" w:rsidR="000E69FF" w:rsidRPr="00AF3E74" w:rsidRDefault="000E69FF">
            <w:pPr>
              <w:rPr>
                <w:rFonts w:cs="Arial"/>
              </w:rPr>
            </w:pPr>
          </w:p>
        </w:tc>
      </w:tr>
    </w:tbl>
    <w:p w14:paraId="4CC8BBC1" w14:textId="77777777" w:rsidR="00654693" w:rsidRPr="00AF3E74" w:rsidRDefault="00654693" w:rsidP="00F70EF7">
      <w:pPr>
        <w:rPr>
          <w:rFonts w:cs="Arial"/>
        </w:rPr>
      </w:pPr>
    </w:p>
    <w:p w14:paraId="00BD4A6B" w14:textId="77777777" w:rsidR="00D825B1" w:rsidRDefault="00D825B1" w:rsidP="00D825B1">
      <w:pPr>
        <w:rPr>
          <w:rFonts w:cs="Arial"/>
          <w:b/>
          <w:sz w:val="28"/>
          <w:szCs w:val="28"/>
        </w:rPr>
      </w:pPr>
    </w:p>
    <w:p w14:paraId="1F302F9B" w14:textId="068D95ED" w:rsidR="008F725D" w:rsidRPr="00D825B1" w:rsidRDefault="008E190C" w:rsidP="00D825B1">
      <w:pPr>
        <w:rPr>
          <w:rFonts w:cs="Arial"/>
          <w:b/>
          <w:sz w:val="28"/>
          <w:szCs w:val="28"/>
        </w:rPr>
      </w:pPr>
      <w:r w:rsidRPr="00D825B1">
        <w:rPr>
          <w:rFonts w:cs="Arial"/>
          <w:b/>
          <w:sz w:val="28"/>
          <w:szCs w:val="28"/>
        </w:rPr>
        <w:t>Record u</w:t>
      </w:r>
      <w:r w:rsidR="008F725D" w:rsidRPr="00D825B1">
        <w:rPr>
          <w:rFonts w:cs="Arial"/>
          <w:b/>
          <w:sz w:val="28"/>
          <w:szCs w:val="28"/>
        </w:rPr>
        <w:t>seful contact numbers, resources and sources of additional information</w:t>
      </w:r>
    </w:p>
    <w:p w14:paraId="3295CA74" w14:textId="77777777" w:rsidR="004B1545" w:rsidRPr="00AF3E74" w:rsidRDefault="004B1545" w:rsidP="008E190C">
      <w:pPr>
        <w:rPr>
          <w:rFonts w:cs="Arial"/>
          <w:b/>
        </w:rPr>
      </w:pPr>
    </w:p>
    <w:tbl>
      <w:tblPr>
        <w:tblStyle w:val="TableGrid"/>
        <w:tblW w:w="0" w:type="auto"/>
        <w:tblLook w:val="04A0" w:firstRow="1" w:lastRow="0" w:firstColumn="1" w:lastColumn="0" w:noHBand="0" w:noVBand="1"/>
      </w:tblPr>
      <w:tblGrid>
        <w:gridCol w:w="2263"/>
        <w:gridCol w:w="4536"/>
        <w:gridCol w:w="2977"/>
        <w:gridCol w:w="2479"/>
        <w:gridCol w:w="1695"/>
      </w:tblGrid>
      <w:tr w:rsidR="00923474" w:rsidRPr="00923474" w14:paraId="35ECC786" w14:textId="3F8BB6CE" w:rsidTr="00923474">
        <w:tc>
          <w:tcPr>
            <w:tcW w:w="2263" w:type="dxa"/>
          </w:tcPr>
          <w:p w14:paraId="7A8498CA" w14:textId="00977727" w:rsidR="00923474" w:rsidRPr="00923474" w:rsidRDefault="00923474" w:rsidP="00F70EF7">
            <w:pPr>
              <w:rPr>
                <w:rFonts w:cs="Arial"/>
                <w:b/>
              </w:rPr>
            </w:pPr>
            <w:r w:rsidRPr="00923474">
              <w:rPr>
                <w:rFonts w:cs="Arial"/>
                <w:b/>
              </w:rPr>
              <w:t>Name</w:t>
            </w:r>
          </w:p>
        </w:tc>
        <w:tc>
          <w:tcPr>
            <w:tcW w:w="4536" w:type="dxa"/>
          </w:tcPr>
          <w:p w14:paraId="098B68D9" w14:textId="37AA04C4" w:rsidR="00923474" w:rsidRPr="00923474" w:rsidRDefault="00923474" w:rsidP="00F70EF7">
            <w:pPr>
              <w:rPr>
                <w:rFonts w:cs="Arial"/>
                <w:b/>
              </w:rPr>
            </w:pPr>
            <w:r w:rsidRPr="00923474">
              <w:rPr>
                <w:rFonts w:cs="Arial"/>
                <w:b/>
              </w:rPr>
              <w:t>Organisation</w:t>
            </w:r>
          </w:p>
        </w:tc>
        <w:tc>
          <w:tcPr>
            <w:tcW w:w="2977" w:type="dxa"/>
          </w:tcPr>
          <w:p w14:paraId="44421357" w14:textId="15476DF5" w:rsidR="00923474" w:rsidRPr="00923474" w:rsidRDefault="00923474" w:rsidP="00F70EF7">
            <w:pPr>
              <w:rPr>
                <w:rFonts w:cs="Arial"/>
                <w:b/>
              </w:rPr>
            </w:pPr>
            <w:r w:rsidRPr="00923474">
              <w:rPr>
                <w:rFonts w:cs="Arial"/>
                <w:b/>
              </w:rPr>
              <w:t>Email</w:t>
            </w:r>
          </w:p>
        </w:tc>
        <w:tc>
          <w:tcPr>
            <w:tcW w:w="2479" w:type="dxa"/>
          </w:tcPr>
          <w:p w14:paraId="2A9F022C" w14:textId="072F4971" w:rsidR="00923474" w:rsidRPr="00923474" w:rsidRDefault="00923474" w:rsidP="00F70EF7">
            <w:pPr>
              <w:rPr>
                <w:rFonts w:cs="Arial"/>
                <w:b/>
              </w:rPr>
            </w:pPr>
            <w:r w:rsidRPr="00923474">
              <w:rPr>
                <w:rFonts w:cs="Arial"/>
                <w:b/>
              </w:rPr>
              <w:t>Tel</w:t>
            </w:r>
          </w:p>
        </w:tc>
        <w:tc>
          <w:tcPr>
            <w:tcW w:w="1695" w:type="dxa"/>
          </w:tcPr>
          <w:p w14:paraId="6DF0E582" w14:textId="6B327E82" w:rsidR="00923474" w:rsidRPr="00923474" w:rsidRDefault="00923474" w:rsidP="00F70EF7">
            <w:pPr>
              <w:rPr>
                <w:rFonts w:cs="Arial"/>
                <w:b/>
              </w:rPr>
            </w:pPr>
            <w:r w:rsidRPr="00923474">
              <w:rPr>
                <w:rFonts w:cs="Arial"/>
                <w:b/>
              </w:rPr>
              <w:t>Website</w:t>
            </w:r>
          </w:p>
        </w:tc>
      </w:tr>
      <w:tr w:rsidR="00923474" w:rsidRPr="00AF3E74" w14:paraId="00BA4827" w14:textId="4DA1A2EA" w:rsidTr="00923474">
        <w:tc>
          <w:tcPr>
            <w:tcW w:w="2263" w:type="dxa"/>
          </w:tcPr>
          <w:p w14:paraId="61A6B51B" w14:textId="77777777" w:rsidR="00923474" w:rsidRPr="00AF3E74" w:rsidRDefault="00923474" w:rsidP="00F70EF7">
            <w:pPr>
              <w:rPr>
                <w:rFonts w:cs="Arial"/>
              </w:rPr>
            </w:pPr>
          </w:p>
        </w:tc>
        <w:tc>
          <w:tcPr>
            <w:tcW w:w="4536" w:type="dxa"/>
          </w:tcPr>
          <w:p w14:paraId="60E3E220" w14:textId="4BE66B14" w:rsidR="00923474" w:rsidRPr="00AF3E74" w:rsidRDefault="00923474" w:rsidP="00F70EF7">
            <w:pPr>
              <w:rPr>
                <w:rFonts w:cs="Arial"/>
              </w:rPr>
            </w:pPr>
          </w:p>
        </w:tc>
        <w:tc>
          <w:tcPr>
            <w:tcW w:w="2977" w:type="dxa"/>
          </w:tcPr>
          <w:p w14:paraId="2166D306" w14:textId="77777777" w:rsidR="00923474" w:rsidRPr="00AF3E74" w:rsidRDefault="00923474" w:rsidP="00F70EF7">
            <w:pPr>
              <w:rPr>
                <w:rFonts w:cs="Arial"/>
              </w:rPr>
            </w:pPr>
          </w:p>
        </w:tc>
        <w:tc>
          <w:tcPr>
            <w:tcW w:w="2479" w:type="dxa"/>
          </w:tcPr>
          <w:p w14:paraId="2BA302DB" w14:textId="77777777" w:rsidR="00923474" w:rsidRPr="00AF3E74" w:rsidRDefault="00923474" w:rsidP="00F70EF7">
            <w:pPr>
              <w:rPr>
                <w:rFonts w:cs="Arial"/>
              </w:rPr>
            </w:pPr>
          </w:p>
        </w:tc>
        <w:tc>
          <w:tcPr>
            <w:tcW w:w="1695" w:type="dxa"/>
          </w:tcPr>
          <w:p w14:paraId="4CF3BA0F" w14:textId="77777777" w:rsidR="00923474" w:rsidRPr="00AF3E74" w:rsidRDefault="00923474" w:rsidP="00F70EF7">
            <w:pPr>
              <w:rPr>
                <w:rFonts w:cs="Arial"/>
              </w:rPr>
            </w:pPr>
          </w:p>
        </w:tc>
      </w:tr>
      <w:tr w:rsidR="00923474" w:rsidRPr="00AF3E74" w14:paraId="4BBB81C9" w14:textId="3D359D21" w:rsidTr="00923474">
        <w:tc>
          <w:tcPr>
            <w:tcW w:w="2263" w:type="dxa"/>
          </w:tcPr>
          <w:p w14:paraId="3FCB7D72" w14:textId="77777777" w:rsidR="00923474" w:rsidRPr="00AF3E74" w:rsidRDefault="00923474" w:rsidP="00F70EF7">
            <w:pPr>
              <w:rPr>
                <w:rFonts w:cs="Arial"/>
              </w:rPr>
            </w:pPr>
          </w:p>
        </w:tc>
        <w:tc>
          <w:tcPr>
            <w:tcW w:w="4536" w:type="dxa"/>
          </w:tcPr>
          <w:p w14:paraId="509B1EA7" w14:textId="537EBAA7" w:rsidR="00923474" w:rsidRPr="00AF3E74" w:rsidRDefault="00923474" w:rsidP="00F70EF7">
            <w:pPr>
              <w:rPr>
                <w:rFonts w:cs="Arial"/>
              </w:rPr>
            </w:pPr>
          </w:p>
        </w:tc>
        <w:tc>
          <w:tcPr>
            <w:tcW w:w="2977" w:type="dxa"/>
          </w:tcPr>
          <w:p w14:paraId="69F3DEE9" w14:textId="77777777" w:rsidR="00923474" w:rsidRPr="00AF3E74" w:rsidRDefault="00923474" w:rsidP="00F70EF7">
            <w:pPr>
              <w:rPr>
                <w:rFonts w:cs="Arial"/>
              </w:rPr>
            </w:pPr>
          </w:p>
        </w:tc>
        <w:tc>
          <w:tcPr>
            <w:tcW w:w="2479" w:type="dxa"/>
          </w:tcPr>
          <w:p w14:paraId="56FFA01A" w14:textId="77777777" w:rsidR="00923474" w:rsidRPr="00AF3E74" w:rsidRDefault="00923474" w:rsidP="00F70EF7">
            <w:pPr>
              <w:rPr>
                <w:rFonts w:cs="Arial"/>
              </w:rPr>
            </w:pPr>
          </w:p>
        </w:tc>
        <w:tc>
          <w:tcPr>
            <w:tcW w:w="1695" w:type="dxa"/>
          </w:tcPr>
          <w:p w14:paraId="4CD9BFFF" w14:textId="77777777" w:rsidR="00923474" w:rsidRPr="00AF3E74" w:rsidRDefault="00923474" w:rsidP="00F70EF7">
            <w:pPr>
              <w:rPr>
                <w:rFonts w:cs="Arial"/>
              </w:rPr>
            </w:pPr>
          </w:p>
        </w:tc>
      </w:tr>
      <w:tr w:rsidR="00923474" w:rsidRPr="00AF3E74" w14:paraId="6C96C193" w14:textId="58A77EA4" w:rsidTr="00923474">
        <w:tc>
          <w:tcPr>
            <w:tcW w:w="2263" w:type="dxa"/>
          </w:tcPr>
          <w:p w14:paraId="7D41D2FA" w14:textId="77777777" w:rsidR="00923474" w:rsidRPr="00AF3E74" w:rsidRDefault="00923474" w:rsidP="00F70EF7">
            <w:pPr>
              <w:rPr>
                <w:rFonts w:cs="Arial"/>
              </w:rPr>
            </w:pPr>
          </w:p>
        </w:tc>
        <w:tc>
          <w:tcPr>
            <w:tcW w:w="4536" w:type="dxa"/>
          </w:tcPr>
          <w:p w14:paraId="51F09F15" w14:textId="7C986403" w:rsidR="00923474" w:rsidRPr="00AF3E74" w:rsidRDefault="00923474" w:rsidP="00F70EF7">
            <w:pPr>
              <w:rPr>
                <w:rFonts w:cs="Arial"/>
              </w:rPr>
            </w:pPr>
          </w:p>
        </w:tc>
        <w:tc>
          <w:tcPr>
            <w:tcW w:w="2977" w:type="dxa"/>
          </w:tcPr>
          <w:p w14:paraId="1713C5C5" w14:textId="77777777" w:rsidR="00923474" w:rsidRPr="00AF3E74" w:rsidRDefault="00923474" w:rsidP="00F70EF7">
            <w:pPr>
              <w:rPr>
                <w:rFonts w:cs="Arial"/>
              </w:rPr>
            </w:pPr>
          </w:p>
        </w:tc>
        <w:tc>
          <w:tcPr>
            <w:tcW w:w="2479" w:type="dxa"/>
          </w:tcPr>
          <w:p w14:paraId="57330479" w14:textId="77777777" w:rsidR="00923474" w:rsidRPr="00AF3E74" w:rsidRDefault="00923474" w:rsidP="00F70EF7">
            <w:pPr>
              <w:rPr>
                <w:rFonts w:cs="Arial"/>
              </w:rPr>
            </w:pPr>
          </w:p>
        </w:tc>
        <w:tc>
          <w:tcPr>
            <w:tcW w:w="1695" w:type="dxa"/>
          </w:tcPr>
          <w:p w14:paraId="2CB22DB9" w14:textId="77777777" w:rsidR="00923474" w:rsidRPr="00AF3E74" w:rsidRDefault="00923474" w:rsidP="00F70EF7">
            <w:pPr>
              <w:rPr>
                <w:rFonts w:cs="Arial"/>
              </w:rPr>
            </w:pPr>
          </w:p>
        </w:tc>
      </w:tr>
      <w:tr w:rsidR="00923474" w:rsidRPr="00AF3E74" w14:paraId="3C3E46DB" w14:textId="4A90EB5F" w:rsidTr="00923474">
        <w:tc>
          <w:tcPr>
            <w:tcW w:w="2263" w:type="dxa"/>
          </w:tcPr>
          <w:p w14:paraId="197CCCA7" w14:textId="77777777" w:rsidR="00923474" w:rsidRPr="00AF3E74" w:rsidRDefault="00923474" w:rsidP="00F70EF7">
            <w:pPr>
              <w:rPr>
                <w:rFonts w:cs="Arial"/>
              </w:rPr>
            </w:pPr>
          </w:p>
        </w:tc>
        <w:tc>
          <w:tcPr>
            <w:tcW w:w="4536" w:type="dxa"/>
          </w:tcPr>
          <w:p w14:paraId="595C3ED9" w14:textId="6147C5D1" w:rsidR="00923474" w:rsidRPr="00AF3E74" w:rsidRDefault="00923474" w:rsidP="00F70EF7">
            <w:pPr>
              <w:rPr>
                <w:rFonts w:cs="Arial"/>
              </w:rPr>
            </w:pPr>
          </w:p>
        </w:tc>
        <w:tc>
          <w:tcPr>
            <w:tcW w:w="2977" w:type="dxa"/>
          </w:tcPr>
          <w:p w14:paraId="42E3E7BE" w14:textId="77777777" w:rsidR="00923474" w:rsidRPr="00AF3E74" w:rsidRDefault="00923474" w:rsidP="00F70EF7">
            <w:pPr>
              <w:rPr>
                <w:rFonts w:cs="Arial"/>
              </w:rPr>
            </w:pPr>
          </w:p>
        </w:tc>
        <w:tc>
          <w:tcPr>
            <w:tcW w:w="2479" w:type="dxa"/>
          </w:tcPr>
          <w:p w14:paraId="2A99E354" w14:textId="77777777" w:rsidR="00923474" w:rsidRPr="00AF3E74" w:rsidRDefault="00923474" w:rsidP="00F70EF7">
            <w:pPr>
              <w:rPr>
                <w:rFonts w:cs="Arial"/>
              </w:rPr>
            </w:pPr>
          </w:p>
        </w:tc>
        <w:tc>
          <w:tcPr>
            <w:tcW w:w="1695" w:type="dxa"/>
          </w:tcPr>
          <w:p w14:paraId="34A27B32" w14:textId="77777777" w:rsidR="00923474" w:rsidRPr="00AF3E74" w:rsidRDefault="00923474" w:rsidP="00F70EF7">
            <w:pPr>
              <w:rPr>
                <w:rFonts w:cs="Arial"/>
              </w:rPr>
            </w:pPr>
          </w:p>
        </w:tc>
      </w:tr>
      <w:tr w:rsidR="00923474" w:rsidRPr="00AF3E74" w14:paraId="718EE35F" w14:textId="585D0547" w:rsidTr="00923474">
        <w:tc>
          <w:tcPr>
            <w:tcW w:w="2263" w:type="dxa"/>
          </w:tcPr>
          <w:p w14:paraId="6CAD2795" w14:textId="77777777" w:rsidR="00923474" w:rsidRPr="00AF3E74" w:rsidRDefault="00923474" w:rsidP="00F70EF7">
            <w:pPr>
              <w:rPr>
                <w:rFonts w:cs="Arial"/>
              </w:rPr>
            </w:pPr>
          </w:p>
        </w:tc>
        <w:tc>
          <w:tcPr>
            <w:tcW w:w="4536" w:type="dxa"/>
          </w:tcPr>
          <w:p w14:paraId="08A5B141" w14:textId="63C3E175" w:rsidR="00923474" w:rsidRPr="00AF3E74" w:rsidRDefault="00923474" w:rsidP="00F70EF7">
            <w:pPr>
              <w:rPr>
                <w:rFonts w:cs="Arial"/>
              </w:rPr>
            </w:pPr>
          </w:p>
        </w:tc>
        <w:tc>
          <w:tcPr>
            <w:tcW w:w="2977" w:type="dxa"/>
          </w:tcPr>
          <w:p w14:paraId="578DAF67" w14:textId="77777777" w:rsidR="00923474" w:rsidRPr="00AF3E74" w:rsidRDefault="00923474" w:rsidP="00F70EF7">
            <w:pPr>
              <w:rPr>
                <w:rFonts w:cs="Arial"/>
              </w:rPr>
            </w:pPr>
          </w:p>
        </w:tc>
        <w:tc>
          <w:tcPr>
            <w:tcW w:w="2479" w:type="dxa"/>
          </w:tcPr>
          <w:p w14:paraId="22FB66EB" w14:textId="77777777" w:rsidR="00923474" w:rsidRPr="00AF3E74" w:rsidRDefault="00923474" w:rsidP="00F70EF7">
            <w:pPr>
              <w:rPr>
                <w:rFonts w:cs="Arial"/>
              </w:rPr>
            </w:pPr>
          </w:p>
        </w:tc>
        <w:tc>
          <w:tcPr>
            <w:tcW w:w="1695" w:type="dxa"/>
          </w:tcPr>
          <w:p w14:paraId="03A06603" w14:textId="77777777" w:rsidR="00923474" w:rsidRPr="00AF3E74" w:rsidRDefault="00923474" w:rsidP="00F70EF7">
            <w:pPr>
              <w:rPr>
                <w:rFonts w:cs="Arial"/>
              </w:rPr>
            </w:pPr>
          </w:p>
        </w:tc>
      </w:tr>
      <w:tr w:rsidR="00923474" w:rsidRPr="00AF3E74" w14:paraId="4079916A" w14:textId="3B76462D" w:rsidTr="00923474">
        <w:tc>
          <w:tcPr>
            <w:tcW w:w="2263" w:type="dxa"/>
          </w:tcPr>
          <w:p w14:paraId="76CFA0F0" w14:textId="77777777" w:rsidR="00923474" w:rsidRPr="00AF3E74" w:rsidRDefault="00923474" w:rsidP="00F70EF7">
            <w:pPr>
              <w:rPr>
                <w:rFonts w:cs="Arial"/>
              </w:rPr>
            </w:pPr>
          </w:p>
        </w:tc>
        <w:tc>
          <w:tcPr>
            <w:tcW w:w="4536" w:type="dxa"/>
          </w:tcPr>
          <w:p w14:paraId="05C5BC07" w14:textId="49D4766A" w:rsidR="00923474" w:rsidRPr="00AF3E74" w:rsidRDefault="00923474" w:rsidP="00F70EF7">
            <w:pPr>
              <w:rPr>
                <w:rFonts w:cs="Arial"/>
              </w:rPr>
            </w:pPr>
          </w:p>
        </w:tc>
        <w:tc>
          <w:tcPr>
            <w:tcW w:w="2977" w:type="dxa"/>
          </w:tcPr>
          <w:p w14:paraId="0DCB0488" w14:textId="77777777" w:rsidR="00923474" w:rsidRPr="00AF3E74" w:rsidRDefault="00923474" w:rsidP="00F70EF7">
            <w:pPr>
              <w:rPr>
                <w:rFonts w:cs="Arial"/>
              </w:rPr>
            </w:pPr>
          </w:p>
        </w:tc>
        <w:tc>
          <w:tcPr>
            <w:tcW w:w="2479" w:type="dxa"/>
          </w:tcPr>
          <w:p w14:paraId="471BCACF" w14:textId="77777777" w:rsidR="00923474" w:rsidRPr="00AF3E74" w:rsidRDefault="00923474" w:rsidP="00F70EF7">
            <w:pPr>
              <w:rPr>
                <w:rFonts w:cs="Arial"/>
              </w:rPr>
            </w:pPr>
          </w:p>
        </w:tc>
        <w:tc>
          <w:tcPr>
            <w:tcW w:w="1695" w:type="dxa"/>
          </w:tcPr>
          <w:p w14:paraId="436EF1F5" w14:textId="77777777" w:rsidR="00923474" w:rsidRPr="00AF3E74" w:rsidRDefault="00923474" w:rsidP="00F70EF7">
            <w:pPr>
              <w:rPr>
                <w:rFonts w:cs="Arial"/>
              </w:rPr>
            </w:pPr>
          </w:p>
        </w:tc>
      </w:tr>
    </w:tbl>
    <w:p w14:paraId="2A686F0E" w14:textId="77777777" w:rsidR="00D825B1" w:rsidRDefault="00D825B1" w:rsidP="008E190C">
      <w:pPr>
        <w:rPr>
          <w:rFonts w:cs="Arial"/>
          <w:b/>
          <w:bCs/>
        </w:rPr>
      </w:pPr>
    </w:p>
    <w:p w14:paraId="52EA7E6A" w14:textId="77777777" w:rsidR="004F3EAC" w:rsidRDefault="004F3EAC" w:rsidP="00F70EF7">
      <w:pPr>
        <w:rPr>
          <w:rFonts w:cs="Arial"/>
          <w:b/>
          <w:iCs/>
          <w:szCs w:val="22"/>
          <w:lang w:val="en-US"/>
        </w:rPr>
      </w:pPr>
    </w:p>
    <w:p w14:paraId="4C7555AD" w14:textId="425B33E1" w:rsidR="001C4B3F" w:rsidRPr="004F3EAC" w:rsidRDefault="001C4B3F" w:rsidP="003223AC">
      <w:pPr>
        <w:tabs>
          <w:tab w:val="left" w:pos="3240"/>
        </w:tabs>
        <w:rPr>
          <w:rFonts w:cs="Arial"/>
          <w:b/>
          <w:iCs/>
          <w:szCs w:val="22"/>
          <w:lang w:val="en-US"/>
        </w:rPr>
      </w:pPr>
      <w:r w:rsidRPr="004F3EAC">
        <w:rPr>
          <w:rFonts w:cs="Arial"/>
          <w:b/>
          <w:iCs/>
          <w:szCs w:val="22"/>
          <w:lang w:val="en-US"/>
        </w:rPr>
        <w:t>Disclaimer</w:t>
      </w:r>
      <w:r w:rsidR="003223AC">
        <w:rPr>
          <w:rFonts w:cs="Arial"/>
          <w:b/>
          <w:iCs/>
          <w:szCs w:val="22"/>
          <w:lang w:val="en-US"/>
        </w:rPr>
        <w:tab/>
      </w:r>
    </w:p>
    <w:p w14:paraId="70FA2E9A" w14:textId="3F5C6866" w:rsidR="001C4B3F" w:rsidRPr="006203AC" w:rsidRDefault="001C4B3F" w:rsidP="00F70EF7">
      <w:pPr>
        <w:rPr>
          <w:rFonts w:cs="Arial"/>
          <w:bCs/>
          <w:szCs w:val="22"/>
        </w:rPr>
      </w:pPr>
      <w:r w:rsidRPr="006203AC">
        <w:rPr>
          <w:rFonts w:cs="Arial"/>
          <w:bCs/>
          <w:i/>
          <w:iCs/>
          <w:szCs w:val="22"/>
          <w:lang w:val="en-US"/>
        </w:rPr>
        <w:t>The CPA assumes no responsibility or liability for any errors or omissions in the publication of this communication. The information contained in this update is provided on an “as is” basis with no guarantees of completeness, accuracy, usefulness or timeliness</w:t>
      </w:r>
      <w:r w:rsidR="007839C7" w:rsidRPr="006203AC">
        <w:rPr>
          <w:rFonts w:cs="Arial"/>
          <w:bCs/>
          <w:i/>
          <w:iCs/>
          <w:szCs w:val="22"/>
          <w:lang w:val="en-US"/>
        </w:rPr>
        <w:t>.</w:t>
      </w:r>
    </w:p>
    <w:sectPr w:rsidR="001C4B3F" w:rsidRPr="006203AC" w:rsidSect="0041224C">
      <w:headerReference w:type="default" r:id="rId18"/>
      <w:footerReference w:type="default" r:id="rId19"/>
      <w:pgSz w:w="16840" w:h="11900" w:orient="landscape"/>
      <w:pgMar w:top="1134" w:right="1440" w:bottom="1134" w:left="144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5CBF" w14:textId="77777777" w:rsidR="00180349" w:rsidRDefault="00180349" w:rsidP="00AF3E74">
      <w:r>
        <w:separator/>
      </w:r>
    </w:p>
  </w:endnote>
  <w:endnote w:type="continuationSeparator" w:id="0">
    <w:p w14:paraId="4717C555" w14:textId="77777777" w:rsidR="00180349" w:rsidRDefault="00180349" w:rsidP="00AF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448A"/>
      </w:rPr>
      <w:id w:val="-1151598890"/>
      <w:docPartObj>
        <w:docPartGallery w:val="Page Numbers (Bottom of Page)"/>
        <w:docPartUnique/>
      </w:docPartObj>
    </w:sdtPr>
    <w:sdtEndPr>
      <w:rPr>
        <w:noProof/>
        <w:sz w:val="20"/>
        <w:szCs w:val="20"/>
      </w:rPr>
    </w:sdtEndPr>
    <w:sdtContent>
      <w:p w14:paraId="71EA870A" w14:textId="35FA45E3" w:rsidR="00B926DA" w:rsidRPr="0031766B" w:rsidRDefault="00B926DA" w:rsidP="008359F4">
        <w:pPr>
          <w:pStyle w:val="Footer"/>
          <w:tabs>
            <w:tab w:val="clear" w:pos="4513"/>
            <w:tab w:val="clear" w:pos="9026"/>
          </w:tabs>
          <w:jc w:val="right"/>
          <w:rPr>
            <w:color w:val="00448A"/>
            <w:sz w:val="20"/>
            <w:szCs w:val="20"/>
          </w:rPr>
        </w:pPr>
        <w:r w:rsidRPr="0031766B">
          <w:rPr>
            <w:color w:val="00448A"/>
            <w:sz w:val="20"/>
            <w:szCs w:val="20"/>
          </w:rPr>
          <w:fldChar w:fldCharType="begin"/>
        </w:r>
        <w:r w:rsidRPr="0031766B">
          <w:rPr>
            <w:color w:val="00448A"/>
            <w:sz w:val="20"/>
            <w:szCs w:val="20"/>
          </w:rPr>
          <w:instrText xml:space="preserve"> PAGE   \* MERGEFORMAT </w:instrText>
        </w:r>
        <w:r w:rsidRPr="0031766B">
          <w:rPr>
            <w:color w:val="00448A"/>
            <w:sz w:val="20"/>
            <w:szCs w:val="20"/>
          </w:rPr>
          <w:fldChar w:fldCharType="separate"/>
        </w:r>
        <w:r w:rsidR="00F972F8">
          <w:rPr>
            <w:noProof/>
            <w:color w:val="00448A"/>
            <w:sz w:val="20"/>
            <w:szCs w:val="20"/>
          </w:rPr>
          <w:t>3</w:t>
        </w:r>
        <w:r w:rsidRPr="0031766B">
          <w:rPr>
            <w:noProof/>
            <w:color w:val="00448A"/>
            <w:sz w:val="20"/>
            <w:szCs w:val="20"/>
          </w:rPr>
          <w:fldChar w:fldCharType="end"/>
        </w:r>
        <w:r w:rsidR="0031766B" w:rsidRPr="0031766B">
          <w:rPr>
            <w:color w:val="00448A"/>
            <w:sz w:val="20"/>
            <w:szCs w:val="20"/>
          </w:rPr>
          <w:tab/>
        </w:r>
        <w:r w:rsidR="0031766B" w:rsidRPr="0031766B">
          <w:rPr>
            <w:color w:val="00448A"/>
            <w:sz w:val="20"/>
            <w:szCs w:val="20"/>
          </w:rPr>
          <w:tab/>
          <w:t>CPA – Business continuity plan: template</w:t>
        </w:r>
        <w:r w:rsidR="008359F4">
          <w:rPr>
            <w:color w:val="00448A"/>
            <w:sz w:val="20"/>
            <w:szCs w:val="20"/>
          </w:rPr>
          <w:t xml:space="preserve"> – Published 12 May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BD184" w14:textId="77777777" w:rsidR="00180349" w:rsidRDefault="00180349" w:rsidP="00AF3E74">
      <w:r>
        <w:separator/>
      </w:r>
    </w:p>
  </w:footnote>
  <w:footnote w:type="continuationSeparator" w:id="0">
    <w:p w14:paraId="634E542D" w14:textId="77777777" w:rsidR="00180349" w:rsidRDefault="00180349" w:rsidP="00AF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AF09" w14:textId="0522DAA3" w:rsidR="00004CFF" w:rsidRDefault="00004CFF">
    <w:pPr>
      <w:pStyle w:val="Header"/>
    </w:pPr>
  </w:p>
  <w:p w14:paraId="1AF3DC2C" w14:textId="77777777" w:rsidR="00004CFF" w:rsidRDefault="00004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DFB6CC"/>
    <w:multiLevelType w:val="hybridMultilevel"/>
    <w:tmpl w:val="0F332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D814F1"/>
    <w:multiLevelType w:val="hybridMultilevel"/>
    <w:tmpl w:val="31ADC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F67EC39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F229EA"/>
    <w:multiLevelType w:val="hybridMultilevel"/>
    <w:tmpl w:val="5F04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5AE7"/>
    <w:multiLevelType w:val="hybridMultilevel"/>
    <w:tmpl w:val="50C2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C1CDC"/>
    <w:multiLevelType w:val="hybridMultilevel"/>
    <w:tmpl w:val="A7862F9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25057682"/>
    <w:multiLevelType w:val="hybridMultilevel"/>
    <w:tmpl w:val="B07AD0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024C9"/>
    <w:multiLevelType w:val="hybridMultilevel"/>
    <w:tmpl w:val="B960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7449B"/>
    <w:multiLevelType w:val="hybridMultilevel"/>
    <w:tmpl w:val="74985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A497B"/>
    <w:multiLevelType w:val="multilevel"/>
    <w:tmpl w:val="54D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B655EE"/>
    <w:multiLevelType w:val="hybridMultilevel"/>
    <w:tmpl w:val="C910EDC6"/>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1" w15:restartNumberingAfterBreak="0">
    <w:nsid w:val="729163AA"/>
    <w:multiLevelType w:val="hybridMultilevel"/>
    <w:tmpl w:val="7EDA1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3E3EF6"/>
    <w:multiLevelType w:val="hybridMultilevel"/>
    <w:tmpl w:val="26AA9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
  </w:num>
  <w:num w:numId="5">
    <w:abstractNumId w:val="9"/>
  </w:num>
  <w:num w:numId="6">
    <w:abstractNumId w:val="3"/>
  </w:num>
  <w:num w:numId="7">
    <w:abstractNumId w:val="6"/>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0"/>
  </w:num>
  <w:num w:numId="28">
    <w:abstractNumId w:val="7"/>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82"/>
    <w:rsid w:val="0000491E"/>
    <w:rsid w:val="00004CFF"/>
    <w:rsid w:val="00016CB1"/>
    <w:rsid w:val="000174A3"/>
    <w:rsid w:val="000312EF"/>
    <w:rsid w:val="00040EC4"/>
    <w:rsid w:val="00053A2D"/>
    <w:rsid w:val="00056579"/>
    <w:rsid w:val="00063D84"/>
    <w:rsid w:val="00066EE9"/>
    <w:rsid w:val="000721D3"/>
    <w:rsid w:val="00082AB7"/>
    <w:rsid w:val="000C3729"/>
    <w:rsid w:val="000D2566"/>
    <w:rsid w:val="000E69FF"/>
    <w:rsid w:val="000E79C0"/>
    <w:rsid w:val="000F314A"/>
    <w:rsid w:val="001022A1"/>
    <w:rsid w:val="00110DC8"/>
    <w:rsid w:val="0011406B"/>
    <w:rsid w:val="001242C3"/>
    <w:rsid w:val="0014378A"/>
    <w:rsid w:val="00145637"/>
    <w:rsid w:val="00145D94"/>
    <w:rsid w:val="00161054"/>
    <w:rsid w:val="0016120D"/>
    <w:rsid w:val="00161F70"/>
    <w:rsid w:val="00163253"/>
    <w:rsid w:val="00166986"/>
    <w:rsid w:val="00167872"/>
    <w:rsid w:val="00170010"/>
    <w:rsid w:val="00174004"/>
    <w:rsid w:val="00180349"/>
    <w:rsid w:val="001817AB"/>
    <w:rsid w:val="00181DE8"/>
    <w:rsid w:val="00184727"/>
    <w:rsid w:val="00192B0C"/>
    <w:rsid w:val="001A19B4"/>
    <w:rsid w:val="001B2111"/>
    <w:rsid w:val="001B21BB"/>
    <w:rsid w:val="001B2FE6"/>
    <w:rsid w:val="001C4B3F"/>
    <w:rsid w:val="001C5E13"/>
    <w:rsid w:val="001F132B"/>
    <w:rsid w:val="001F71D2"/>
    <w:rsid w:val="00217482"/>
    <w:rsid w:val="0022219D"/>
    <w:rsid w:val="00237979"/>
    <w:rsid w:val="002423CE"/>
    <w:rsid w:val="002440F0"/>
    <w:rsid w:val="002508E5"/>
    <w:rsid w:val="00276D75"/>
    <w:rsid w:val="0028486D"/>
    <w:rsid w:val="00286708"/>
    <w:rsid w:val="00292A79"/>
    <w:rsid w:val="002A6ACE"/>
    <w:rsid w:val="002B3FF5"/>
    <w:rsid w:val="002F3514"/>
    <w:rsid w:val="002F4384"/>
    <w:rsid w:val="00304E5C"/>
    <w:rsid w:val="00306094"/>
    <w:rsid w:val="0031766B"/>
    <w:rsid w:val="003223AC"/>
    <w:rsid w:val="003254C7"/>
    <w:rsid w:val="00357C37"/>
    <w:rsid w:val="00395662"/>
    <w:rsid w:val="00397EA2"/>
    <w:rsid w:val="003A7BB8"/>
    <w:rsid w:val="003C06C4"/>
    <w:rsid w:val="003C6D28"/>
    <w:rsid w:val="003E3B1B"/>
    <w:rsid w:val="003E41EF"/>
    <w:rsid w:val="003F43EE"/>
    <w:rsid w:val="00405985"/>
    <w:rsid w:val="0041224C"/>
    <w:rsid w:val="00422894"/>
    <w:rsid w:val="0042560F"/>
    <w:rsid w:val="00433E42"/>
    <w:rsid w:val="0045749F"/>
    <w:rsid w:val="00461BBD"/>
    <w:rsid w:val="00472434"/>
    <w:rsid w:val="00475D0E"/>
    <w:rsid w:val="00485294"/>
    <w:rsid w:val="00495F57"/>
    <w:rsid w:val="004B1545"/>
    <w:rsid w:val="004E068F"/>
    <w:rsid w:val="004E7C98"/>
    <w:rsid w:val="004F367F"/>
    <w:rsid w:val="004F377D"/>
    <w:rsid w:val="004F3EAC"/>
    <w:rsid w:val="00502AD6"/>
    <w:rsid w:val="00515974"/>
    <w:rsid w:val="005413F8"/>
    <w:rsid w:val="00552DDC"/>
    <w:rsid w:val="005537CD"/>
    <w:rsid w:val="00553D2A"/>
    <w:rsid w:val="005730D0"/>
    <w:rsid w:val="00583FE8"/>
    <w:rsid w:val="005849D9"/>
    <w:rsid w:val="005855B5"/>
    <w:rsid w:val="005A1FCC"/>
    <w:rsid w:val="005A3BC5"/>
    <w:rsid w:val="005A4D60"/>
    <w:rsid w:val="005B5E01"/>
    <w:rsid w:val="005D2988"/>
    <w:rsid w:val="005D29EE"/>
    <w:rsid w:val="005E0909"/>
    <w:rsid w:val="005E5512"/>
    <w:rsid w:val="00601A74"/>
    <w:rsid w:val="00602D45"/>
    <w:rsid w:val="00607D57"/>
    <w:rsid w:val="006137C0"/>
    <w:rsid w:val="006203AC"/>
    <w:rsid w:val="00622777"/>
    <w:rsid w:val="0062304F"/>
    <w:rsid w:val="00640AC5"/>
    <w:rsid w:val="00654693"/>
    <w:rsid w:val="00662A9B"/>
    <w:rsid w:val="006643D7"/>
    <w:rsid w:val="006669FA"/>
    <w:rsid w:val="006816BF"/>
    <w:rsid w:val="00682A9E"/>
    <w:rsid w:val="0069045A"/>
    <w:rsid w:val="006A3378"/>
    <w:rsid w:val="006A3DED"/>
    <w:rsid w:val="006B451B"/>
    <w:rsid w:val="006C1612"/>
    <w:rsid w:val="006D1160"/>
    <w:rsid w:val="006D11F2"/>
    <w:rsid w:val="006D1918"/>
    <w:rsid w:val="006E0374"/>
    <w:rsid w:val="006E7A95"/>
    <w:rsid w:val="006F0976"/>
    <w:rsid w:val="00702AD0"/>
    <w:rsid w:val="00703ED3"/>
    <w:rsid w:val="00704EF2"/>
    <w:rsid w:val="007308E0"/>
    <w:rsid w:val="00733BA8"/>
    <w:rsid w:val="00736A6A"/>
    <w:rsid w:val="00767E50"/>
    <w:rsid w:val="00781BE8"/>
    <w:rsid w:val="0078266D"/>
    <w:rsid w:val="007839C7"/>
    <w:rsid w:val="007842A4"/>
    <w:rsid w:val="00784438"/>
    <w:rsid w:val="007960CC"/>
    <w:rsid w:val="007C3E5B"/>
    <w:rsid w:val="007D2999"/>
    <w:rsid w:val="007D5FF6"/>
    <w:rsid w:val="007E1F72"/>
    <w:rsid w:val="007F30C8"/>
    <w:rsid w:val="008008B7"/>
    <w:rsid w:val="00801540"/>
    <w:rsid w:val="00804642"/>
    <w:rsid w:val="00807137"/>
    <w:rsid w:val="00807E6C"/>
    <w:rsid w:val="00814043"/>
    <w:rsid w:val="00815B78"/>
    <w:rsid w:val="0082478F"/>
    <w:rsid w:val="008254A9"/>
    <w:rsid w:val="0083118E"/>
    <w:rsid w:val="0083563E"/>
    <w:rsid w:val="008359F4"/>
    <w:rsid w:val="00836692"/>
    <w:rsid w:val="0084012F"/>
    <w:rsid w:val="00876D50"/>
    <w:rsid w:val="008844B4"/>
    <w:rsid w:val="008866CD"/>
    <w:rsid w:val="00892073"/>
    <w:rsid w:val="008949B2"/>
    <w:rsid w:val="00894DB0"/>
    <w:rsid w:val="008D420D"/>
    <w:rsid w:val="008E06E6"/>
    <w:rsid w:val="008E190C"/>
    <w:rsid w:val="008E6111"/>
    <w:rsid w:val="008F725D"/>
    <w:rsid w:val="00900406"/>
    <w:rsid w:val="00900AC6"/>
    <w:rsid w:val="00902618"/>
    <w:rsid w:val="00910BF5"/>
    <w:rsid w:val="00913016"/>
    <w:rsid w:val="00914CC6"/>
    <w:rsid w:val="009177B1"/>
    <w:rsid w:val="00920021"/>
    <w:rsid w:val="0092044D"/>
    <w:rsid w:val="00923474"/>
    <w:rsid w:val="009270C5"/>
    <w:rsid w:val="009339E5"/>
    <w:rsid w:val="00935153"/>
    <w:rsid w:val="009367B5"/>
    <w:rsid w:val="009471F7"/>
    <w:rsid w:val="00961756"/>
    <w:rsid w:val="00965F5D"/>
    <w:rsid w:val="009A4AAD"/>
    <w:rsid w:val="009B33AB"/>
    <w:rsid w:val="009D0B8C"/>
    <w:rsid w:val="009E47B5"/>
    <w:rsid w:val="009E58F7"/>
    <w:rsid w:val="009E7A2F"/>
    <w:rsid w:val="009F33B8"/>
    <w:rsid w:val="00A12D3A"/>
    <w:rsid w:val="00A20E9B"/>
    <w:rsid w:val="00A21996"/>
    <w:rsid w:val="00A22D11"/>
    <w:rsid w:val="00A24EC8"/>
    <w:rsid w:val="00A35187"/>
    <w:rsid w:val="00A754A4"/>
    <w:rsid w:val="00A76EDB"/>
    <w:rsid w:val="00A8149E"/>
    <w:rsid w:val="00A96582"/>
    <w:rsid w:val="00A97195"/>
    <w:rsid w:val="00AA0F91"/>
    <w:rsid w:val="00AB729F"/>
    <w:rsid w:val="00AC460B"/>
    <w:rsid w:val="00AD2077"/>
    <w:rsid w:val="00AD6E1C"/>
    <w:rsid w:val="00AF3E74"/>
    <w:rsid w:val="00AF4500"/>
    <w:rsid w:val="00B05BE4"/>
    <w:rsid w:val="00B269DD"/>
    <w:rsid w:val="00B35C09"/>
    <w:rsid w:val="00B453F5"/>
    <w:rsid w:val="00B46194"/>
    <w:rsid w:val="00B76FAC"/>
    <w:rsid w:val="00B813F5"/>
    <w:rsid w:val="00B87D04"/>
    <w:rsid w:val="00B91D9A"/>
    <w:rsid w:val="00B926DA"/>
    <w:rsid w:val="00B97E9D"/>
    <w:rsid w:val="00BA6268"/>
    <w:rsid w:val="00BB5983"/>
    <w:rsid w:val="00BB74DB"/>
    <w:rsid w:val="00BE4A4A"/>
    <w:rsid w:val="00BF67DE"/>
    <w:rsid w:val="00C155F7"/>
    <w:rsid w:val="00C21173"/>
    <w:rsid w:val="00C34ADC"/>
    <w:rsid w:val="00C52CD1"/>
    <w:rsid w:val="00C56232"/>
    <w:rsid w:val="00C56857"/>
    <w:rsid w:val="00C65EF2"/>
    <w:rsid w:val="00C76CFE"/>
    <w:rsid w:val="00C818E1"/>
    <w:rsid w:val="00C94746"/>
    <w:rsid w:val="00C976A9"/>
    <w:rsid w:val="00CA1EFE"/>
    <w:rsid w:val="00CA2E6B"/>
    <w:rsid w:val="00CA6C2A"/>
    <w:rsid w:val="00CB1392"/>
    <w:rsid w:val="00CB20F2"/>
    <w:rsid w:val="00CB5968"/>
    <w:rsid w:val="00CC4EAB"/>
    <w:rsid w:val="00CD0AD9"/>
    <w:rsid w:val="00CD6E98"/>
    <w:rsid w:val="00CE2C1C"/>
    <w:rsid w:val="00CE3CFF"/>
    <w:rsid w:val="00CE7429"/>
    <w:rsid w:val="00CF1F98"/>
    <w:rsid w:val="00D222C8"/>
    <w:rsid w:val="00D24D10"/>
    <w:rsid w:val="00D50750"/>
    <w:rsid w:val="00D55149"/>
    <w:rsid w:val="00D60427"/>
    <w:rsid w:val="00D60A9C"/>
    <w:rsid w:val="00D6468D"/>
    <w:rsid w:val="00D7230A"/>
    <w:rsid w:val="00D748CA"/>
    <w:rsid w:val="00D825B1"/>
    <w:rsid w:val="00D935D4"/>
    <w:rsid w:val="00DB1E78"/>
    <w:rsid w:val="00DC3A88"/>
    <w:rsid w:val="00DD22B4"/>
    <w:rsid w:val="00DF3180"/>
    <w:rsid w:val="00E019B7"/>
    <w:rsid w:val="00E02266"/>
    <w:rsid w:val="00E145F5"/>
    <w:rsid w:val="00E15740"/>
    <w:rsid w:val="00E327A9"/>
    <w:rsid w:val="00E34685"/>
    <w:rsid w:val="00E34C93"/>
    <w:rsid w:val="00E477D6"/>
    <w:rsid w:val="00E55796"/>
    <w:rsid w:val="00E62882"/>
    <w:rsid w:val="00E842E9"/>
    <w:rsid w:val="00E847F1"/>
    <w:rsid w:val="00EB0168"/>
    <w:rsid w:val="00EB7B1B"/>
    <w:rsid w:val="00EC1A74"/>
    <w:rsid w:val="00EC7188"/>
    <w:rsid w:val="00EC7FBA"/>
    <w:rsid w:val="00EF2382"/>
    <w:rsid w:val="00EF3CF1"/>
    <w:rsid w:val="00F04849"/>
    <w:rsid w:val="00F049B7"/>
    <w:rsid w:val="00F066CA"/>
    <w:rsid w:val="00F11812"/>
    <w:rsid w:val="00F13E70"/>
    <w:rsid w:val="00F14985"/>
    <w:rsid w:val="00F16CDD"/>
    <w:rsid w:val="00F209A7"/>
    <w:rsid w:val="00F36457"/>
    <w:rsid w:val="00F364B3"/>
    <w:rsid w:val="00F45D83"/>
    <w:rsid w:val="00F67131"/>
    <w:rsid w:val="00F70EF7"/>
    <w:rsid w:val="00F7456E"/>
    <w:rsid w:val="00F75F3F"/>
    <w:rsid w:val="00F7638F"/>
    <w:rsid w:val="00F81DBA"/>
    <w:rsid w:val="00F83FB9"/>
    <w:rsid w:val="00F957B3"/>
    <w:rsid w:val="00F972F8"/>
    <w:rsid w:val="00FA07BF"/>
    <w:rsid w:val="00FA11F9"/>
    <w:rsid w:val="00FA5BA5"/>
    <w:rsid w:val="00FB44D5"/>
    <w:rsid w:val="00FC0E0B"/>
    <w:rsid w:val="00FC66CA"/>
    <w:rsid w:val="00FC7523"/>
    <w:rsid w:val="00FD1BAB"/>
    <w:rsid w:val="00FD296E"/>
    <w:rsid w:val="00FD405B"/>
    <w:rsid w:val="00FE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F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F5"/>
    <w:rPr>
      <w:rFonts w:ascii="Arial" w:hAnsi="Arial"/>
      <w:sz w:val="22"/>
    </w:rPr>
  </w:style>
  <w:style w:type="paragraph" w:styleId="Heading1">
    <w:name w:val="heading 1"/>
    <w:basedOn w:val="Normal"/>
    <w:link w:val="Heading1Char"/>
    <w:uiPriority w:val="9"/>
    <w:qFormat/>
    <w:rsid w:val="006816BF"/>
    <w:pPr>
      <w:spacing w:line="480" w:lineRule="auto"/>
      <w:outlineLvl w:val="0"/>
    </w:pPr>
    <w:rPr>
      <w:rFonts w:ascii="Times New Roman" w:eastAsia="Times New Roman" w:hAnsi="Times New Roman" w:cs="Times New Roman"/>
      <w:b/>
      <w:bCs/>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B7"/>
    <w:rPr>
      <w:rFonts w:ascii="Segoe UI" w:hAnsi="Segoe UI" w:cs="Segoe UI"/>
      <w:sz w:val="18"/>
      <w:szCs w:val="18"/>
    </w:rPr>
  </w:style>
  <w:style w:type="character" w:styleId="CommentReference">
    <w:name w:val="annotation reference"/>
    <w:basedOn w:val="DefaultParagraphFont"/>
    <w:uiPriority w:val="99"/>
    <w:semiHidden/>
    <w:unhideWhenUsed/>
    <w:rsid w:val="008008B7"/>
    <w:rPr>
      <w:sz w:val="16"/>
      <w:szCs w:val="16"/>
    </w:rPr>
  </w:style>
  <w:style w:type="paragraph" w:styleId="CommentText">
    <w:name w:val="annotation text"/>
    <w:basedOn w:val="Normal"/>
    <w:link w:val="CommentTextChar"/>
    <w:uiPriority w:val="99"/>
    <w:semiHidden/>
    <w:unhideWhenUsed/>
    <w:rsid w:val="008008B7"/>
    <w:rPr>
      <w:sz w:val="20"/>
      <w:szCs w:val="20"/>
    </w:rPr>
  </w:style>
  <w:style w:type="character" w:customStyle="1" w:styleId="CommentTextChar">
    <w:name w:val="Comment Text Char"/>
    <w:basedOn w:val="DefaultParagraphFont"/>
    <w:link w:val="CommentText"/>
    <w:uiPriority w:val="99"/>
    <w:semiHidden/>
    <w:rsid w:val="008008B7"/>
    <w:rPr>
      <w:sz w:val="20"/>
      <w:szCs w:val="20"/>
    </w:rPr>
  </w:style>
  <w:style w:type="paragraph" w:styleId="CommentSubject">
    <w:name w:val="annotation subject"/>
    <w:basedOn w:val="CommentText"/>
    <w:next w:val="CommentText"/>
    <w:link w:val="CommentSubjectChar"/>
    <w:uiPriority w:val="99"/>
    <w:semiHidden/>
    <w:unhideWhenUsed/>
    <w:rsid w:val="008008B7"/>
    <w:rPr>
      <w:b/>
      <w:bCs/>
    </w:rPr>
  </w:style>
  <w:style w:type="character" w:customStyle="1" w:styleId="CommentSubjectChar">
    <w:name w:val="Comment Subject Char"/>
    <w:basedOn w:val="CommentTextChar"/>
    <w:link w:val="CommentSubject"/>
    <w:uiPriority w:val="99"/>
    <w:semiHidden/>
    <w:rsid w:val="008008B7"/>
    <w:rPr>
      <w:b/>
      <w:bCs/>
      <w:sz w:val="20"/>
      <w:szCs w:val="20"/>
    </w:rPr>
  </w:style>
  <w:style w:type="paragraph" w:styleId="ListBullet">
    <w:name w:val="List Bullet"/>
    <w:basedOn w:val="Normal"/>
    <w:uiPriority w:val="99"/>
    <w:unhideWhenUsed/>
    <w:rsid w:val="00F14985"/>
    <w:pPr>
      <w:numPr>
        <w:numId w:val="1"/>
      </w:numPr>
      <w:spacing w:before="120" w:after="120"/>
      <w:contextualSpacing/>
    </w:pPr>
    <w:rPr>
      <w:rFonts w:cs="Arial"/>
      <w:szCs w:val="22"/>
    </w:rPr>
  </w:style>
  <w:style w:type="paragraph" w:styleId="Revision">
    <w:name w:val="Revision"/>
    <w:hidden/>
    <w:uiPriority w:val="99"/>
    <w:semiHidden/>
    <w:rsid w:val="00F70EF7"/>
  </w:style>
  <w:style w:type="paragraph" w:customStyle="1" w:styleId="Default">
    <w:name w:val="Default"/>
    <w:rsid w:val="00FC7523"/>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B97E9D"/>
  </w:style>
  <w:style w:type="character" w:styleId="Hyperlink">
    <w:name w:val="Hyperlink"/>
    <w:basedOn w:val="DefaultParagraphFont"/>
    <w:uiPriority w:val="99"/>
    <w:unhideWhenUsed/>
    <w:rsid w:val="00733BA8"/>
    <w:rPr>
      <w:color w:val="0563C1" w:themeColor="hyperlink"/>
      <w:u w:val="single"/>
    </w:rPr>
  </w:style>
  <w:style w:type="character" w:customStyle="1" w:styleId="UnresolvedMention1">
    <w:name w:val="Unresolved Mention1"/>
    <w:basedOn w:val="DefaultParagraphFont"/>
    <w:uiPriority w:val="99"/>
    <w:rsid w:val="00E34C93"/>
    <w:rPr>
      <w:color w:val="605E5C"/>
      <w:shd w:val="clear" w:color="auto" w:fill="E1DFDD"/>
    </w:rPr>
  </w:style>
  <w:style w:type="character" w:styleId="FollowedHyperlink">
    <w:name w:val="FollowedHyperlink"/>
    <w:basedOn w:val="DefaultParagraphFont"/>
    <w:uiPriority w:val="99"/>
    <w:semiHidden/>
    <w:unhideWhenUsed/>
    <w:rsid w:val="00E34C93"/>
    <w:rPr>
      <w:color w:val="954F72" w:themeColor="followedHyperlink"/>
      <w:u w:val="single"/>
    </w:rPr>
  </w:style>
  <w:style w:type="paragraph" w:styleId="Header">
    <w:name w:val="header"/>
    <w:basedOn w:val="Normal"/>
    <w:link w:val="HeaderChar"/>
    <w:uiPriority w:val="99"/>
    <w:unhideWhenUsed/>
    <w:rsid w:val="00AF3E74"/>
    <w:pPr>
      <w:tabs>
        <w:tab w:val="center" w:pos="4513"/>
        <w:tab w:val="right" w:pos="9026"/>
      </w:tabs>
    </w:pPr>
  </w:style>
  <w:style w:type="character" w:customStyle="1" w:styleId="HeaderChar">
    <w:name w:val="Header Char"/>
    <w:basedOn w:val="DefaultParagraphFont"/>
    <w:link w:val="Header"/>
    <w:uiPriority w:val="99"/>
    <w:rsid w:val="00AF3E74"/>
  </w:style>
  <w:style w:type="paragraph" w:styleId="Footer">
    <w:name w:val="footer"/>
    <w:basedOn w:val="Normal"/>
    <w:link w:val="FooterChar"/>
    <w:uiPriority w:val="99"/>
    <w:unhideWhenUsed/>
    <w:rsid w:val="00AF3E74"/>
    <w:pPr>
      <w:tabs>
        <w:tab w:val="center" w:pos="4513"/>
        <w:tab w:val="right" w:pos="9026"/>
      </w:tabs>
    </w:pPr>
  </w:style>
  <w:style w:type="character" w:customStyle="1" w:styleId="FooterChar">
    <w:name w:val="Footer Char"/>
    <w:basedOn w:val="DefaultParagraphFont"/>
    <w:link w:val="Footer"/>
    <w:uiPriority w:val="99"/>
    <w:rsid w:val="00AF3E74"/>
  </w:style>
  <w:style w:type="paragraph" w:styleId="ListParagraph">
    <w:name w:val="List Paragraph"/>
    <w:basedOn w:val="Normal"/>
    <w:uiPriority w:val="34"/>
    <w:qFormat/>
    <w:rsid w:val="005537CD"/>
    <w:pPr>
      <w:ind w:left="720"/>
      <w:contextualSpacing/>
    </w:pPr>
  </w:style>
  <w:style w:type="paragraph" w:customStyle="1" w:styleId="Tablecolumn">
    <w:name w:val="Table column"/>
    <w:basedOn w:val="Normal"/>
    <w:next w:val="Normal"/>
    <w:qFormat/>
    <w:rsid w:val="00910BF5"/>
    <w:pPr>
      <w:spacing w:before="120" w:after="120"/>
    </w:pPr>
  </w:style>
  <w:style w:type="character" w:customStyle="1" w:styleId="UnresolvedMention2">
    <w:name w:val="Unresolved Mention2"/>
    <w:basedOn w:val="DefaultParagraphFont"/>
    <w:uiPriority w:val="99"/>
    <w:semiHidden/>
    <w:unhideWhenUsed/>
    <w:rsid w:val="008949B2"/>
    <w:rPr>
      <w:color w:val="605E5C"/>
      <w:shd w:val="clear" w:color="auto" w:fill="E1DFDD"/>
    </w:rPr>
  </w:style>
  <w:style w:type="character" w:customStyle="1" w:styleId="Heading1Char">
    <w:name w:val="Heading 1 Char"/>
    <w:basedOn w:val="DefaultParagraphFont"/>
    <w:link w:val="Heading1"/>
    <w:uiPriority w:val="9"/>
    <w:rsid w:val="006816BF"/>
    <w:rPr>
      <w:rFonts w:ascii="Times New Roman" w:eastAsia="Times New Roman" w:hAnsi="Times New Roman" w:cs="Times New Roman"/>
      <w:b/>
      <w:bCs/>
      <w:szCs w:val="22"/>
      <w:lang w:val="en-US"/>
    </w:rPr>
  </w:style>
  <w:style w:type="character" w:styleId="UnresolvedMention">
    <w:name w:val="Unresolved Mention"/>
    <w:basedOn w:val="DefaultParagraphFont"/>
    <w:uiPriority w:val="99"/>
    <w:semiHidden/>
    <w:unhideWhenUsed/>
    <w:rsid w:val="0062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92679">
      <w:bodyDiv w:val="1"/>
      <w:marLeft w:val="0"/>
      <w:marRight w:val="0"/>
      <w:marTop w:val="0"/>
      <w:marBottom w:val="0"/>
      <w:divBdr>
        <w:top w:val="none" w:sz="0" w:space="0" w:color="auto"/>
        <w:left w:val="none" w:sz="0" w:space="0" w:color="auto"/>
        <w:bottom w:val="none" w:sz="0" w:space="0" w:color="auto"/>
        <w:right w:val="none" w:sz="0" w:space="0" w:color="auto"/>
      </w:divBdr>
    </w:div>
    <w:div w:id="1369337620">
      <w:bodyDiv w:val="1"/>
      <w:marLeft w:val="0"/>
      <w:marRight w:val="0"/>
      <w:marTop w:val="0"/>
      <w:marBottom w:val="0"/>
      <w:divBdr>
        <w:top w:val="none" w:sz="0" w:space="0" w:color="auto"/>
        <w:left w:val="none" w:sz="0" w:space="0" w:color="auto"/>
        <w:bottom w:val="none" w:sz="0" w:space="0" w:color="auto"/>
        <w:right w:val="none" w:sz="0" w:space="0" w:color="auto"/>
      </w:divBdr>
    </w:div>
    <w:div w:id="1875000749">
      <w:bodyDiv w:val="1"/>
      <w:marLeft w:val="0"/>
      <w:marRight w:val="0"/>
      <w:marTop w:val="0"/>
      <w:marBottom w:val="0"/>
      <w:divBdr>
        <w:top w:val="none" w:sz="0" w:space="0" w:color="auto"/>
        <w:left w:val="none" w:sz="0" w:space="0" w:color="auto"/>
        <w:bottom w:val="none" w:sz="0" w:space="0" w:color="auto"/>
        <w:right w:val="none" w:sz="0" w:space="0" w:color="auto"/>
      </w:divBdr>
    </w:div>
    <w:div w:id="1993169483">
      <w:bodyDiv w:val="1"/>
      <w:marLeft w:val="0"/>
      <w:marRight w:val="0"/>
      <w:marTop w:val="0"/>
      <w:marBottom w:val="0"/>
      <w:divBdr>
        <w:top w:val="none" w:sz="0" w:space="0" w:color="auto"/>
        <w:left w:val="none" w:sz="0" w:space="0" w:color="auto"/>
        <w:bottom w:val="none" w:sz="0" w:space="0" w:color="auto"/>
        <w:right w:val="none" w:sz="0" w:space="0" w:color="auto"/>
      </w:divBdr>
    </w:div>
    <w:div w:id="202848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gitalsocialcare.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data-protection-and-brexit/" TargetMode="External"/><Relationship Id="rId17" Type="http://schemas.openxmlformats.org/officeDocument/2006/relationships/hyperlink" Target="https://www.skillsforcare.org.uk/Recruitment-retention/Recruitment-and-retention.aspx" TargetMode="External"/><Relationship Id="rId2" Type="http://schemas.openxmlformats.org/officeDocument/2006/relationships/numbering" Target="numbering.xml"/><Relationship Id="rId16" Type="http://schemas.openxmlformats.org/officeDocument/2006/relationships/hyperlink" Target="https://www.everydayisdifferent.com/hom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coronavirus-covid-19-list-of-guidance" TargetMode="External"/><Relationship Id="rId5" Type="http://schemas.openxmlformats.org/officeDocument/2006/relationships/webSettings" Target="webSettings.xml"/><Relationship Id="rId15" Type="http://schemas.openxmlformats.org/officeDocument/2006/relationships/hyperlink" Target="https://www.gov.uk/government/publications/business-continuity-management-for-fuel-shortages" TargetMode="External"/><Relationship Id="rId10" Type="http://schemas.openxmlformats.org/officeDocument/2006/relationships/hyperlink" Target="http://careprovideralliance.org.uk/coronavir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eprovideralliance.org.uk/business-continuity-guidance" TargetMode="External"/><Relationship Id="rId14" Type="http://schemas.openxmlformats.org/officeDocument/2006/relationships/hyperlink" Target="https://www.digitalsocial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4D9B-12D1-4089-BFAD-CBA52DE4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Kelly</dc:creator>
  <cp:keywords/>
  <dc:description/>
  <cp:lastModifiedBy>iris steen</cp:lastModifiedBy>
  <cp:revision>2</cp:revision>
  <dcterms:created xsi:type="dcterms:W3CDTF">2020-05-20T11:55:00Z</dcterms:created>
  <dcterms:modified xsi:type="dcterms:W3CDTF">2020-05-20T11:55:00Z</dcterms:modified>
</cp:coreProperties>
</file>